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bookmarkStart w:id="1" w:name="_GoBack"/>
      <w:r>
        <w:rPr>
          <w:rFonts w:hint="eastAsia" w:ascii="方正小标宋简体" w:eastAsia="方正小标宋简体" w:cs="宋体"/>
          <w:b/>
          <w:bCs/>
          <w:color w:val="000000"/>
          <w:kern w:val="0"/>
          <w:sz w:val="44"/>
          <w:szCs w:val="44"/>
        </w:rPr>
        <w:t>廊坊市广阳区卫生和计划生育局</w:t>
      </w:r>
      <w:r>
        <w:rPr>
          <w:rFonts w:ascii="方正小标宋简体" w:eastAsia="方正小标宋简体" w:cs="宋体"/>
          <w:b/>
          <w:bCs/>
          <w:color w:val="000000"/>
          <w:kern w:val="0"/>
          <w:sz w:val="44"/>
          <w:szCs w:val="44"/>
        </w:rPr>
        <w:t>2018</w:t>
      </w:r>
      <w:r>
        <w:rPr>
          <w:rFonts w:hint="eastAsia" w:ascii="方正小标宋简体" w:eastAsia="方正小标宋简体" w:cs="宋体"/>
          <w:b/>
          <w:bCs/>
          <w:color w:val="000000"/>
          <w:kern w:val="0"/>
          <w:sz w:val="44"/>
          <w:szCs w:val="44"/>
        </w:rPr>
        <w:t>年部门预算信息公开</w:t>
      </w:r>
      <w:bookmarkEnd w:id="1"/>
    </w:p>
    <w:p>
      <w:pPr>
        <w:spacing w:line="570" w:lineRule="exact"/>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w:t>
      </w:r>
      <w:r>
        <w:rPr>
          <w:rFonts w:hint="eastAsia" w:ascii="仿宋_GB2312" w:eastAsia="仿宋_GB2312" w:cs="宋体"/>
          <w:kern w:val="0"/>
          <w:sz w:val="32"/>
          <w:szCs w:val="32"/>
        </w:rPr>
        <w:t>区</w:t>
      </w:r>
      <w:r>
        <w:rPr>
          <w:rFonts w:hint="eastAsia" w:ascii="仿宋_GB2312" w:eastAsia="仿宋_GB2312" w:cs="宋体"/>
          <w:bCs/>
          <w:kern w:val="0"/>
          <w:sz w:val="32"/>
          <w:szCs w:val="32"/>
        </w:rPr>
        <w:t>卫生和计划生育局</w:t>
      </w:r>
      <w:r>
        <w:rPr>
          <w:rFonts w:hint="eastAsia" w:ascii="仿宋_GB2312" w:eastAsia="仿宋_GB2312"/>
          <w:sz w:val="32"/>
          <w:szCs w:val="32"/>
        </w:rPr>
        <w:t>201</w:t>
      </w:r>
      <w:r>
        <w:rPr>
          <w:rFonts w:ascii="仿宋_GB2312" w:eastAsia="仿宋_GB2312"/>
          <w:sz w:val="32"/>
          <w:szCs w:val="32"/>
        </w:rPr>
        <w:t>8</w:t>
      </w:r>
      <w:r>
        <w:rPr>
          <w:rFonts w:hint="eastAsia" w:ascii="仿宋_GB2312" w:eastAsia="仿宋_GB2312"/>
          <w:sz w:val="32"/>
          <w:szCs w:val="32"/>
        </w:rPr>
        <w:t>年部门预算公开如下：</w:t>
      </w:r>
    </w:p>
    <w:p>
      <w:pPr>
        <w:widowControl/>
        <w:numPr>
          <w:ilvl w:val="0"/>
          <w:numId w:val="1"/>
        </w:numPr>
        <w:spacing w:line="570" w:lineRule="exact"/>
        <w:jc w:val="left"/>
        <w:rPr>
          <w:rFonts w:ascii="仿宋_GB2312" w:eastAsia="仿宋_GB2312" w:cs="宋体"/>
          <w:b/>
          <w:bCs/>
          <w:color w:val="000000"/>
          <w:kern w:val="0"/>
          <w:sz w:val="32"/>
          <w:szCs w:val="32"/>
        </w:rPr>
      </w:pPr>
      <w:r>
        <w:rPr>
          <w:rFonts w:hint="eastAsia" w:ascii="黑体" w:eastAsia="黑体" w:cs="宋体"/>
          <w:b/>
          <w:bCs/>
          <w:color w:val="000000"/>
          <w:kern w:val="0"/>
          <w:sz w:val="32"/>
          <w:szCs w:val="32"/>
        </w:rPr>
        <w:t>部门职责及机构设置情况</w:t>
      </w:r>
      <w:r>
        <w:rPr>
          <w:rFonts w:ascii="黑体" w:eastAsia="黑体" w:cs="宋体"/>
          <w:b/>
          <w:bCs/>
          <w:color w:val="000000"/>
          <w:kern w:val="0"/>
          <w:sz w:val="32"/>
          <w:szCs w:val="32"/>
        </w:rPr>
        <w:t xml:space="preserve">   </w:t>
      </w:r>
      <w:r>
        <w:rPr>
          <w:rFonts w:ascii="黑体" w:eastAsia="黑体" w:cs="宋体"/>
          <w:color w:val="000000"/>
          <w:kern w:val="0"/>
          <w:sz w:val="32"/>
          <w:szCs w:val="32"/>
        </w:rPr>
        <w:br w:type="textWrapping"/>
      </w:r>
      <w:r>
        <w:rPr>
          <w:rFonts w:hint="eastAsia" w:ascii="仿宋_GB2312" w:eastAsia="仿宋_GB2312" w:cs="宋体"/>
          <w:b/>
          <w:bCs/>
          <w:color w:val="000000"/>
          <w:kern w:val="0"/>
          <w:sz w:val="32"/>
          <w:szCs w:val="32"/>
        </w:rPr>
        <w:t>部门职责：</w:t>
      </w:r>
    </w:p>
    <w:p>
      <w:pPr>
        <w:numPr>
          <w:ilvl w:val="0"/>
          <w:numId w:val="2"/>
        </w:numPr>
        <w:spacing w:line="570" w:lineRule="exact"/>
        <w:ind w:left="0" w:firstLine="640" w:firstLineChars="200"/>
        <w:rPr>
          <w:rFonts w:ascii="仿宋_GB2312" w:eastAsia="仿宋_GB2312"/>
          <w:sz w:val="32"/>
          <w:szCs w:val="32"/>
        </w:rPr>
      </w:pPr>
      <w:r>
        <w:rPr>
          <w:rFonts w:hint="eastAsia" w:ascii="仿宋_GB2312" w:eastAsia="仿宋_GB2312" w:cs="Times New Roman"/>
          <w:sz w:val="32"/>
          <w:szCs w:val="32"/>
        </w:rPr>
        <w:t>规划功能</w:t>
      </w:r>
      <w:r>
        <w:rPr>
          <w:rFonts w:ascii="仿宋_GB2312" w:eastAsia="仿宋_GB2312" w:cs="Times New Roman"/>
          <w:sz w:val="32"/>
          <w:szCs w:val="32"/>
        </w:rPr>
        <w:t>——</w:t>
      </w:r>
      <w:r>
        <w:rPr>
          <w:rFonts w:hint="eastAsia" w:ascii="仿宋_GB2312" w:eastAsia="仿宋_GB2312" w:cs="Times New Roman"/>
          <w:sz w:val="32"/>
          <w:szCs w:val="32"/>
        </w:rPr>
        <w:t>制定中、长期卫生事业发展规划，和年度实施计划，卫生资源配置标准和卫生区域发展规划，用法律、行政、经济等手段加强宏观管理，调控卫生资源配置，实行卫生工作全行业管理。</w:t>
      </w:r>
      <w:r>
        <w:rPr>
          <w:rFonts w:ascii="仿宋_GB2312" w:eastAsia="仿宋_GB2312"/>
          <w:sz w:val="32"/>
          <w:szCs w:val="32"/>
        </w:rPr>
        <w:br w:type="textWrapping"/>
      </w:r>
      <w:r>
        <w:rPr>
          <w:rFonts w:ascii="仿宋_GB2312" w:eastAsia="仿宋_GB2312"/>
          <w:sz w:val="32"/>
          <w:szCs w:val="32"/>
        </w:rPr>
        <w:t>    2</w:t>
      </w:r>
      <w:r>
        <w:rPr>
          <w:rFonts w:hint="eastAsia" w:ascii="仿宋_GB2312" w:eastAsia="仿宋_GB2312"/>
          <w:sz w:val="32"/>
          <w:szCs w:val="32"/>
        </w:rPr>
        <w:t>、准入功能</w:t>
      </w:r>
      <w:r>
        <w:rPr>
          <w:rFonts w:ascii="仿宋_GB2312" w:eastAsia="仿宋_GB2312"/>
          <w:sz w:val="32"/>
          <w:szCs w:val="32"/>
        </w:rPr>
        <w:t>——</w:t>
      </w:r>
      <w:r>
        <w:rPr>
          <w:rFonts w:hint="eastAsia" w:ascii="仿宋_GB2312" w:eastAsia="仿宋_GB2312"/>
          <w:sz w:val="32"/>
          <w:szCs w:val="32"/>
        </w:rPr>
        <w:t>建立完善有关法律法规和管理制度，对卫生机构、从业人员、医疗技术应用、大型医疗设备等医疗服务要素以及相关的健康产品实行准入制度，保护人民群众的健康和安全。</w:t>
      </w:r>
      <w:r>
        <w:rPr>
          <w:rFonts w:ascii="仿宋_GB2312" w:eastAsia="仿宋_GB2312"/>
          <w:sz w:val="32"/>
          <w:szCs w:val="32"/>
        </w:rPr>
        <w:br w:type="textWrapping"/>
      </w:r>
      <w:r>
        <w:rPr>
          <w:rFonts w:ascii="仿宋_GB2312" w:eastAsia="仿宋_GB2312"/>
          <w:sz w:val="32"/>
          <w:szCs w:val="32"/>
        </w:rPr>
        <w:t>    3</w:t>
      </w:r>
      <w:r>
        <w:rPr>
          <w:rFonts w:hint="eastAsia" w:ascii="仿宋_GB2312" w:eastAsia="仿宋_GB2312"/>
          <w:sz w:val="32"/>
          <w:szCs w:val="32"/>
        </w:rPr>
        <w:t>、监督功能</w:t>
      </w:r>
      <w:r>
        <w:rPr>
          <w:rFonts w:ascii="仿宋_GB2312" w:eastAsia="仿宋_GB2312"/>
          <w:sz w:val="32"/>
          <w:szCs w:val="32"/>
        </w:rPr>
        <w:t>——</w:t>
      </w:r>
      <w:r>
        <w:rPr>
          <w:rFonts w:hint="eastAsia" w:ascii="仿宋_GB2312" w:eastAsia="仿宋_GB2312"/>
          <w:sz w:val="32"/>
          <w:szCs w:val="32"/>
        </w:rPr>
        <w:t>依法行政，实施卫生监督；规范医疗卫生服务行为，加强服务质量监控，打击非法行医，整顿医疗秩序以及规范医疗广告等市场行为。</w:t>
      </w:r>
      <w:r>
        <w:rPr>
          <w:rFonts w:ascii="仿宋_GB2312" w:eastAsia="仿宋_GB2312"/>
          <w:sz w:val="32"/>
          <w:szCs w:val="32"/>
        </w:rPr>
        <w:br w:type="textWrapping"/>
      </w:r>
      <w:r>
        <w:rPr>
          <w:rFonts w:ascii="仿宋_GB2312" w:eastAsia="仿宋_GB2312"/>
          <w:sz w:val="32"/>
          <w:szCs w:val="32"/>
        </w:rPr>
        <w:t>    4</w:t>
      </w:r>
      <w:r>
        <w:rPr>
          <w:rFonts w:hint="eastAsia" w:ascii="仿宋_GB2312" w:eastAsia="仿宋_GB2312"/>
          <w:sz w:val="32"/>
          <w:szCs w:val="32"/>
        </w:rPr>
        <w:t>、经济政策调控功能</w:t>
      </w:r>
      <w:r>
        <w:rPr>
          <w:rFonts w:ascii="仿宋_GB2312" w:eastAsia="仿宋_GB2312"/>
          <w:sz w:val="32"/>
          <w:szCs w:val="32"/>
        </w:rPr>
        <w:t>——</w:t>
      </w:r>
      <w:r>
        <w:rPr>
          <w:rFonts w:hint="eastAsia" w:ascii="仿宋_GB2312" w:eastAsia="仿宋_GB2312"/>
          <w:sz w:val="32"/>
          <w:szCs w:val="32"/>
        </w:rPr>
        <w:t>制定和实施卫生筹资等经济政策，确保公共卫生服务和弱势人群基本医疗服务的供给，促进健康公平，明确对不同类型医疗卫生事业的补助政策、税收政策和价格政策，通过购买服务的方式引导医疗服务提高效率。</w:t>
      </w:r>
      <w:r>
        <w:rPr>
          <w:rFonts w:ascii="仿宋_GB2312" w:eastAsia="仿宋_GB2312"/>
          <w:sz w:val="32"/>
          <w:szCs w:val="32"/>
        </w:rPr>
        <w:br w:type="textWrapping"/>
      </w:r>
      <w:r>
        <w:rPr>
          <w:rFonts w:ascii="仿宋_GB2312" w:eastAsia="仿宋_GB2312"/>
          <w:sz w:val="32"/>
          <w:szCs w:val="32"/>
        </w:rPr>
        <w:t>    5</w:t>
      </w:r>
      <w:r>
        <w:rPr>
          <w:rFonts w:hint="eastAsia" w:ascii="仿宋_GB2312" w:eastAsia="仿宋_GB2312"/>
          <w:sz w:val="32"/>
          <w:szCs w:val="32"/>
        </w:rPr>
        <w:t>、发布医疗卫生有关信息</w:t>
      </w:r>
      <w:r>
        <w:rPr>
          <w:rFonts w:ascii="仿宋_GB2312" w:eastAsia="仿宋_GB2312"/>
          <w:sz w:val="32"/>
          <w:szCs w:val="32"/>
        </w:rPr>
        <w:t>——</w:t>
      </w:r>
      <w:r>
        <w:rPr>
          <w:rFonts w:hint="eastAsia" w:ascii="仿宋_GB2312" w:eastAsia="仿宋_GB2312"/>
          <w:sz w:val="32"/>
          <w:szCs w:val="32"/>
        </w:rPr>
        <w:t>定期发布医疗机构服务数量、质量、价格和费用信息，引导病人选择医院、医生，减少医务人员与患者之间因信息不对称而带来的市场缺陷。</w:t>
      </w:r>
    </w:p>
    <w:p>
      <w:pPr>
        <w:numPr>
          <w:ilvl w:val="0"/>
          <w:numId w:val="3"/>
        </w:numPr>
        <w:spacing w:line="570" w:lineRule="exact"/>
        <w:rPr>
          <w:rFonts w:ascii="仿宋_GB2312" w:eastAsia="仿宋_GB2312"/>
          <w:sz w:val="32"/>
          <w:szCs w:val="32"/>
        </w:rPr>
      </w:pPr>
      <w:r>
        <w:rPr>
          <w:rFonts w:hint="eastAsia" w:ascii="仿宋_GB2312" w:eastAsia="仿宋_GB2312" w:cs="Times New Roman"/>
          <w:sz w:val="32"/>
          <w:szCs w:val="32"/>
        </w:rPr>
        <w:t>贯彻、执行《中华人民共和国人口与计划生育法》、《河北省计划生育条例》等法律法规，贯彻、执行区委、区政府有关人口与计划生育的批示要求。</w:t>
      </w:r>
      <w:r>
        <w:rPr>
          <w:rFonts w:ascii="仿宋_GB2312" w:eastAsia="仿宋_GB2312"/>
          <w:sz w:val="32"/>
          <w:szCs w:val="32"/>
        </w:rPr>
        <w:br w:type="textWrapping"/>
      </w:r>
      <w:r>
        <w:rPr>
          <w:rFonts w:ascii="仿宋_GB2312" w:eastAsia="仿宋_GB2312"/>
          <w:sz w:val="32"/>
          <w:szCs w:val="32"/>
        </w:rPr>
        <w:t xml:space="preserve">    7</w:t>
      </w:r>
      <w:r>
        <w:rPr>
          <w:rFonts w:hint="eastAsia" w:ascii="仿宋_GB2312" w:eastAsia="仿宋_GB2312"/>
          <w:sz w:val="32"/>
          <w:szCs w:val="32"/>
        </w:rPr>
        <w:t>、会同有关部门编制全区人口与发展中长期规划和年度计划、制定执行人口计划的措施、办法并负责督促、检查落实，负责全区计划生育统计工作、参与全区人口统计数据的分析研究；负责全区计划生育有限目标管理责任制的实施和考核。</w:t>
      </w:r>
      <w:r>
        <w:rPr>
          <w:rFonts w:ascii="仿宋_GB2312" w:eastAsia="仿宋_GB2312"/>
          <w:sz w:val="32"/>
          <w:szCs w:val="32"/>
        </w:rPr>
        <w:br w:type="textWrapping"/>
      </w:r>
      <w:r>
        <w:rPr>
          <w:rFonts w:ascii="仿宋_GB2312" w:eastAsia="仿宋_GB2312"/>
          <w:sz w:val="32"/>
          <w:szCs w:val="32"/>
        </w:rPr>
        <w:t xml:space="preserve">    8</w:t>
      </w:r>
      <w:r>
        <w:rPr>
          <w:rFonts w:hint="eastAsia" w:ascii="仿宋_GB2312" w:eastAsia="仿宋_GB2312"/>
          <w:sz w:val="32"/>
          <w:szCs w:val="32"/>
        </w:rPr>
        <w:t>、负责全区《生育证》发放、管理工作，受理计划生育来信来访，查处违反计划生育政策的重要案件。</w:t>
      </w:r>
      <w:r>
        <w:rPr>
          <w:rFonts w:ascii="仿宋_GB2312" w:eastAsia="仿宋_GB2312"/>
          <w:sz w:val="32"/>
          <w:szCs w:val="32"/>
        </w:rPr>
        <w:br w:type="textWrapping"/>
      </w:r>
      <w:r>
        <w:rPr>
          <w:rFonts w:ascii="仿宋_GB2312" w:eastAsia="仿宋_GB2312"/>
          <w:sz w:val="32"/>
          <w:szCs w:val="32"/>
        </w:rPr>
        <w:t xml:space="preserve">    9</w:t>
      </w:r>
      <w:r>
        <w:rPr>
          <w:rFonts w:hint="eastAsia" w:ascii="仿宋_GB2312" w:eastAsia="仿宋_GB2312"/>
          <w:sz w:val="32"/>
          <w:szCs w:val="32"/>
        </w:rPr>
        <w:t>、编制区财政拨付的计划生育事业费和基本建设投资的预决算，督促落实区以下各级计生经费投入并检查其使用情况，开展计划生育系列保险，管理机关的财务和国有资产。</w:t>
      </w:r>
      <w:r>
        <w:rPr>
          <w:rFonts w:ascii="仿宋_GB2312" w:eastAsia="仿宋_GB2312"/>
          <w:sz w:val="32"/>
          <w:szCs w:val="32"/>
        </w:rPr>
        <w:br w:type="textWrapping"/>
      </w:r>
      <w:r>
        <w:rPr>
          <w:rFonts w:ascii="仿宋_GB2312" w:eastAsia="仿宋_GB2312"/>
          <w:sz w:val="32"/>
          <w:szCs w:val="32"/>
        </w:rPr>
        <w:t xml:space="preserve">    10</w:t>
      </w:r>
      <w:r>
        <w:rPr>
          <w:rFonts w:hint="eastAsia" w:ascii="仿宋_GB2312" w:eastAsia="仿宋_GB2312"/>
          <w:sz w:val="32"/>
          <w:szCs w:val="32"/>
        </w:rPr>
        <w:t>、负责全区人口与计划生育宣传教育服务、技术服务、药具服务工作。检查并指导全区计生四术工作，开展流动人口的计生管理和服务工作。</w:t>
      </w:r>
      <w:r>
        <w:rPr>
          <w:rFonts w:ascii="仿宋_GB2312" w:eastAsia="仿宋_GB2312"/>
          <w:sz w:val="32"/>
          <w:szCs w:val="32"/>
        </w:rPr>
        <w:br w:type="textWrapping"/>
      </w:r>
      <w:r>
        <w:rPr>
          <w:rFonts w:ascii="仿宋_GB2312" w:eastAsia="仿宋_GB2312"/>
          <w:sz w:val="32"/>
          <w:szCs w:val="32"/>
        </w:rPr>
        <w:t xml:space="preserve">    11</w:t>
      </w:r>
      <w:r>
        <w:rPr>
          <w:rFonts w:hint="eastAsia" w:ascii="仿宋_GB2312" w:eastAsia="仿宋_GB2312"/>
          <w:sz w:val="32"/>
          <w:szCs w:val="32"/>
        </w:rPr>
        <w:t>、承办区计划生育领导小组的日常工作，会同有关部门对计划生育实行综合治理。</w:t>
      </w:r>
      <w:r>
        <w:rPr>
          <w:rFonts w:ascii="仿宋_GB2312" w:eastAsia="仿宋_GB2312"/>
          <w:sz w:val="32"/>
          <w:szCs w:val="32"/>
        </w:rPr>
        <w:br w:type="textWrapping"/>
      </w:r>
      <w:r>
        <w:rPr>
          <w:rFonts w:ascii="仿宋_GB2312" w:eastAsia="仿宋_GB2312"/>
          <w:sz w:val="32"/>
          <w:szCs w:val="32"/>
        </w:rPr>
        <w:t xml:space="preserve">    12</w:t>
      </w:r>
      <w:r>
        <w:rPr>
          <w:rFonts w:hint="eastAsia" w:ascii="仿宋_GB2312" w:eastAsia="仿宋_GB2312"/>
          <w:sz w:val="32"/>
          <w:szCs w:val="32"/>
        </w:rPr>
        <w:t>、协同管理全区计生系统干部队伍规划，计生专业教育和干部培训工作。</w:t>
      </w:r>
      <w:r>
        <w:rPr>
          <w:rFonts w:ascii="仿宋_GB2312" w:eastAsia="仿宋_GB2312"/>
          <w:sz w:val="32"/>
          <w:szCs w:val="32"/>
        </w:rPr>
        <w:br w:type="textWrapping"/>
      </w:r>
      <w:r>
        <w:rPr>
          <w:rFonts w:ascii="仿宋_GB2312" w:eastAsia="仿宋_GB2312"/>
          <w:sz w:val="32"/>
          <w:szCs w:val="32"/>
        </w:rPr>
        <w:t xml:space="preserve">    13</w:t>
      </w:r>
      <w:r>
        <w:rPr>
          <w:rFonts w:hint="eastAsia" w:ascii="仿宋_GB2312" w:eastAsia="仿宋_GB2312"/>
          <w:sz w:val="32"/>
          <w:szCs w:val="32"/>
        </w:rPr>
        <w:t>、指导有关人员与计划生育社会团体的工作（区计划生育协会的职能配置和人员编制规定附后）。</w:t>
      </w:r>
    </w:p>
    <w:p>
      <w:pPr>
        <w:spacing w:line="570" w:lineRule="exact"/>
        <w:ind w:firstLine="640" w:firstLineChars="200"/>
        <w:rPr>
          <w:rFonts w:ascii="仿宋_GB2312" w:eastAsia="仿宋_GB2312" w:cs="宋体"/>
          <w:color w:val="000000"/>
          <w:kern w:val="0"/>
          <w:sz w:val="32"/>
          <w:szCs w:val="32"/>
        </w:rPr>
      </w:pPr>
      <w:r>
        <w:rPr>
          <w:rFonts w:ascii="仿宋_GB2312" w:eastAsia="仿宋_GB2312"/>
          <w:sz w:val="32"/>
          <w:szCs w:val="32"/>
        </w:rPr>
        <w:t>14</w:t>
      </w:r>
      <w:r>
        <w:rPr>
          <w:rFonts w:hint="eastAsia" w:ascii="仿宋_GB2312" w:eastAsia="仿宋_GB2312"/>
          <w:sz w:val="32"/>
          <w:szCs w:val="32"/>
        </w:rPr>
        <w:t>、承办区政府交办的其他事项。</w:t>
      </w:r>
      <w:r>
        <w:rPr>
          <w:rFonts w:ascii="仿宋_GB2312" w:eastAsia="仿宋_GB2312"/>
          <w:sz w:val="32"/>
          <w:szCs w:val="32"/>
        </w:rPr>
        <w:br w:type="textWrapping"/>
      </w:r>
      <w:r>
        <w:rPr>
          <w:rFonts w:hint="eastAsia" w:ascii="仿宋_GB2312" w:eastAsia="仿宋_GB2312" w:cs="宋体"/>
          <w:b/>
          <w:bCs/>
          <w:color w:val="000000"/>
          <w:kern w:val="0"/>
          <w:sz w:val="32"/>
          <w:szCs w:val="32"/>
        </w:rPr>
        <w:t>机构设置：</w:t>
      </w:r>
    </w:p>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4"/>
        <w:tblW w:w="12333" w:type="dxa"/>
        <w:tblCellSpacing w:w="0" w:type="dxa"/>
        <w:tblInd w:w="44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613"/>
        <w:gridCol w:w="1667"/>
        <w:gridCol w:w="1785"/>
        <w:gridCol w:w="42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3" w:hRule="atLeast"/>
          <w:tblHeader/>
          <w:tblCellSpacing w:w="0" w:type="dxa"/>
        </w:trPr>
        <w:tc>
          <w:tcPr>
            <w:tcW w:w="4613" w:type="dxa"/>
            <w:tcBorders>
              <w:top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4268"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trPr>
        <w:tc>
          <w:tcPr>
            <w:tcW w:w="4613" w:type="dxa"/>
            <w:tcBorders>
              <w:top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廊坊市广阳区卫生和计划生育局</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rPr>
                <w:rFonts w:ascii="仿宋_GB2312" w:eastAsia="仿宋_GB2312" w:cs="宋体"/>
                <w:kern w:val="0"/>
                <w:sz w:val="32"/>
                <w:szCs w:val="32"/>
              </w:rPr>
            </w:pPr>
            <w:r>
              <w:rPr>
                <w:rFonts w:hint="eastAsia" w:ascii="仿宋_GB2312" w:eastAsia="仿宋_GB2312" w:cs="宋体"/>
                <w:kern w:val="0"/>
                <w:sz w:val="32"/>
                <w:szCs w:val="32"/>
              </w:rPr>
              <w:t>行政单位</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正科级</w:t>
            </w:r>
          </w:p>
        </w:tc>
        <w:tc>
          <w:tcPr>
            <w:tcW w:w="4268"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trPr>
        <w:tc>
          <w:tcPr>
            <w:tcW w:w="4613" w:type="dxa"/>
            <w:tcBorders>
              <w:top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廊坊市广阳区消杀服务站</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股级</w:t>
            </w:r>
          </w:p>
        </w:tc>
        <w:tc>
          <w:tcPr>
            <w:tcW w:w="4268"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trPr>
        <w:tc>
          <w:tcPr>
            <w:tcW w:w="4613" w:type="dxa"/>
            <w:tcBorders>
              <w:top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廊坊市广阳区妇幼保健院</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正科级</w:t>
            </w:r>
          </w:p>
        </w:tc>
        <w:tc>
          <w:tcPr>
            <w:tcW w:w="4268"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财政性资金定额或定向补助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trPr>
        <w:tc>
          <w:tcPr>
            <w:tcW w:w="4613" w:type="dxa"/>
            <w:tcBorders>
              <w:top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廊坊市广阳区疾病预防控制中心</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股级</w:t>
            </w:r>
          </w:p>
        </w:tc>
        <w:tc>
          <w:tcPr>
            <w:tcW w:w="4268"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trPr>
        <w:tc>
          <w:tcPr>
            <w:tcW w:w="4613" w:type="dxa"/>
            <w:tcBorders>
              <w:top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廊坊市广阳区卫生监督所</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股级</w:t>
            </w:r>
          </w:p>
        </w:tc>
        <w:tc>
          <w:tcPr>
            <w:tcW w:w="4268"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bl>
    <w:p>
      <w:pPr>
        <w:widowControl/>
        <w:spacing w:line="570" w:lineRule="exact"/>
        <w:jc w:val="left"/>
        <w:rPr>
          <w:rFonts w:ascii="仿宋_GB2312" w:eastAsia="仿宋_GB2312" w:cs="宋体"/>
          <w:color w:val="000000"/>
          <w:kern w:val="0"/>
          <w:sz w:val="32"/>
          <w:szCs w:val="32"/>
        </w:rPr>
      </w:pPr>
      <w:r>
        <w:rPr>
          <w:rFonts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ascii="黑体" w:eastAsia="黑体" w:cs="宋体"/>
          <w:color w:val="000000"/>
          <w:kern w:val="0"/>
          <w:sz w:val="32"/>
          <w:szCs w:val="32"/>
        </w:rPr>
        <w:br w:type="textWrapping"/>
      </w:r>
      <w:r>
        <w:rPr>
          <w:rFonts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hAnsi="Times New Roman" w:eastAsia="仿宋_GB2312" w:cs="Times New Roman"/>
          <w:sz w:val="32"/>
          <w:szCs w:val="32"/>
        </w:rPr>
        <w:t>廊坊市</w:t>
      </w:r>
      <w:r>
        <w:rPr>
          <w:rFonts w:hint="eastAsia" w:ascii="仿宋_GB2312" w:eastAsia="仿宋_GB2312" w:cs="宋体"/>
          <w:color w:val="000000"/>
          <w:kern w:val="0"/>
          <w:sz w:val="32"/>
          <w:szCs w:val="32"/>
        </w:rPr>
        <w:t>广阳区</w:t>
      </w:r>
      <w:r>
        <w:rPr>
          <w:rFonts w:hint="eastAsia" w:ascii="仿宋_GB2312" w:eastAsia="仿宋_GB2312" w:cs="宋体"/>
          <w:color w:val="000000"/>
          <w:kern w:val="0"/>
          <w:sz w:val="32"/>
          <w:szCs w:val="32"/>
          <w:lang w:eastAsia="zh-CN"/>
        </w:rPr>
        <w:t>卫生和计划生育局</w:t>
      </w:r>
      <w:r>
        <w:rPr>
          <w:rFonts w:hint="eastAsia" w:ascii="仿宋_GB2312" w:hAnsi="Times New Roman" w:eastAsia="仿宋_GB2312" w:cs="Times New Roman"/>
          <w:sz w:val="32"/>
          <w:szCs w:val="32"/>
        </w:rPr>
        <w:t>机关及所属事业单位的收支包含在部门预算中</w:t>
      </w:r>
      <w:r>
        <w:rPr>
          <w:rFonts w:hint="eastAsia" w:ascii="仿宋_GB2312" w:hAnsi="Times New Roman" w:eastAsia="仿宋_GB2312" w:cs="Times New Roman"/>
          <w:sz w:val="32"/>
          <w:szCs w:val="32"/>
          <w:lang w:eastAsia="zh-CN"/>
        </w:rPr>
        <w:t>。</w:t>
      </w:r>
    </w:p>
    <w:p>
      <w:pPr>
        <w:widowControl/>
        <w:spacing w:line="570" w:lineRule="exac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1</w:t>
      </w:r>
      <w:r>
        <w:rPr>
          <w:rFonts w:hint="eastAsia" w:ascii="楷体_GB2312" w:eastAsia="楷体_GB2312" w:cs="宋体"/>
          <w:b/>
          <w:bCs/>
          <w:color w:val="000000"/>
          <w:kern w:val="0"/>
          <w:sz w:val="32"/>
          <w:szCs w:val="32"/>
        </w:rPr>
        <w:t>、收入说明</w:t>
      </w:r>
    </w:p>
    <w:p>
      <w:pPr>
        <w:widowControl/>
        <w:spacing w:line="570" w:lineRule="exact"/>
        <w:ind w:firstLine="640" w:firstLineChars="200"/>
        <w:jc w:val="left"/>
        <w:rPr>
          <w:rFonts w:ascii="仿宋_GB2312" w:eastAsia="仿宋_GB2312" w:cs="宋体"/>
          <w:bCs/>
          <w:color w:val="000000"/>
          <w:kern w:val="0"/>
          <w:sz w:val="32"/>
          <w:szCs w:val="32"/>
        </w:rPr>
      </w:pP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年预算收入</w:t>
      </w:r>
      <w:r>
        <w:rPr>
          <w:rFonts w:ascii="仿宋_GB2312" w:eastAsia="仿宋_GB2312" w:cs="宋体"/>
          <w:color w:val="000000"/>
          <w:kern w:val="0"/>
          <w:sz w:val="32"/>
          <w:szCs w:val="32"/>
        </w:rPr>
        <w:t>5986.61</w:t>
      </w:r>
      <w:r>
        <w:rPr>
          <w:rFonts w:hint="eastAsia" w:ascii="仿宋_GB2312" w:eastAsia="仿宋_GB2312" w:cs="宋体"/>
          <w:color w:val="000000"/>
          <w:kern w:val="0"/>
          <w:sz w:val="32"/>
          <w:szCs w:val="32"/>
        </w:rPr>
        <w:t>万元，其中：一般公共预算收入</w:t>
      </w:r>
      <w:r>
        <w:rPr>
          <w:rFonts w:ascii="仿宋_GB2312" w:eastAsia="仿宋_GB2312" w:cs="宋体"/>
          <w:color w:val="000000"/>
          <w:kern w:val="0"/>
          <w:sz w:val="32"/>
          <w:szCs w:val="32"/>
        </w:rPr>
        <w:t>5986.61</w:t>
      </w:r>
      <w:r>
        <w:rPr>
          <w:rFonts w:hint="eastAsia" w:ascii="仿宋_GB2312" w:eastAsia="仿宋_GB2312" w:cs="宋体"/>
          <w:color w:val="000000"/>
          <w:kern w:val="0"/>
          <w:sz w:val="32"/>
          <w:szCs w:val="32"/>
        </w:rPr>
        <w:t>万元，政府性基金收入</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万元，事业收入</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万元，其他收入</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ab/>
      </w:r>
    </w:p>
    <w:p>
      <w:pPr>
        <w:widowControl/>
        <w:spacing w:line="570" w:lineRule="exac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2</w:t>
      </w:r>
      <w:r>
        <w:rPr>
          <w:rFonts w:hint="eastAsia" w:ascii="楷体_GB2312" w:eastAsia="楷体_GB2312" w:cs="宋体"/>
          <w:b/>
          <w:bCs/>
          <w:color w:val="000000"/>
          <w:kern w:val="0"/>
          <w:sz w:val="32"/>
          <w:szCs w:val="32"/>
        </w:rPr>
        <w:t>、支出说明</w:t>
      </w:r>
    </w:p>
    <w:p>
      <w:pPr>
        <w:spacing w:line="570" w:lineRule="exact"/>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收支预算总表支出栏、基本支出表、项目支出表按经济分类和支出功能分类科目编制，反映河北省廊坊市广阳区卫生和计划生育局</w:t>
      </w: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年度部门预算中支出预算的总体情况。</w:t>
      </w: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年支出预算</w:t>
      </w:r>
      <w:r>
        <w:rPr>
          <w:rFonts w:ascii="仿宋_GB2312" w:eastAsia="仿宋_GB2312" w:cs="宋体"/>
          <w:color w:val="000000"/>
          <w:kern w:val="0"/>
          <w:sz w:val="32"/>
          <w:szCs w:val="32"/>
        </w:rPr>
        <w:t>5986.61</w:t>
      </w:r>
      <w:r>
        <w:rPr>
          <w:rFonts w:hint="eastAsia" w:ascii="仿宋_GB2312" w:eastAsia="仿宋_GB2312" w:cs="宋体"/>
          <w:color w:val="000000"/>
          <w:kern w:val="0"/>
          <w:sz w:val="32"/>
          <w:szCs w:val="32"/>
        </w:rPr>
        <w:t>万元，其中基本支出</w:t>
      </w:r>
      <w:r>
        <w:rPr>
          <w:rFonts w:ascii="仿宋_GB2312" w:eastAsia="仿宋_GB2312" w:cs="宋体"/>
          <w:color w:val="000000"/>
          <w:kern w:val="0"/>
          <w:sz w:val="32"/>
          <w:szCs w:val="32"/>
        </w:rPr>
        <w:t>2068.84</w:t>
      </w:r>
      <w:r>
        <w:rPr>
          <w:rFonts w:hint="eastAsia" w:ascii="仿宋_GB2312" w:eastAsia="仿宋_GB2312" w:cs="宋体"/>
          <w:color w:val="000000"/>
          <w:kern w:val="0"/>
          <w:sz w:val="32"/>
          <w:szCs w:val="32"/>
        </w:rPr>
        <w:t>万元，包括人员经费</w:t>
      </w:r>
      <w:r>
        <w:rPr>
          <w:rFonts w:hint="eastAsia" w:ascii="仿宋_GB2312" w:eastAsia="仿宋_GB2312" w:cs="宋体"/>
          <w:color w:val="000000"/>
          <w:kern w:val="0"/>
          <w:sz w:val="32"/>
          <w:szCs w:val="32"/>
          <w:lang w:val="en-US" w:eastAsia="zh-CN"/>
        </w:rPr>
        <w:t>1862.37万元</w:t>
      </w:r>
      <w:r>
        <w:rPr>
          <w:rFonts w:hint="eastAsia" w:ascii="仿宋_GB2312" w:eastAsia="仿宋_GB2312" w:cs="宋体"/>
          <w:color w:val="000000"/>
          <w:kern w:val="0"/>
          <w:sz w:val="32"/>
          <w:szCs w:val="32"/>
        </w:rPr>
        <w:t>和日常公用经费</w:t>
      </w:r>
      <w:r>
        <w:rPr>
          <w:rFonts w:hint="eastAsia" w:ascii="仿宋_GB2312" w:eastAsia="仿宋_GB2312" w:cs="宋体"/>
          <w:color w:val="000000"/>
          <w:kern w:val="0"/>
          <w:sz w:val="32"/>
          <w:szCs w:val="32"/>
          <w:lang w:val="en-US" w:eastAsia="zh-CN"/>
        </w:rPr>
        <w:t>206.47万元</w:t>
      </w:r>
      <w:r>
        <w:rPr>
          <w:rFonts w:hint="eastAsia" w:ascii="仿宋_GB2312" w:eastAsia="仿宋_GB2312" w:cs="宋体"/>
          <w:color w:val="000000"/>
          <w:kern w:val="0"/>
          <w:sz w:val="32"/>
          <w:szCs w:val="32"/>
        </w:rPr>
        <w:t>；项目支出</w:t>
      </w:r>
      <w:r>
        <w:rPr>
          <w:rFonts w:ascii="仿宋_GB2312" w:eastAsia="仿宋_GB2312" w:cs="宋体"/>
          <w:color w:val="000000"/>
          <w:kern w:val="0"/>
          <w:sz w:val="32"/>
          <w:szCs w:val="32"/>
        </w:rPr>
        <w:t>3917.77</w:t>
      </w:r>
      <w:r>
        <w:rPr>
          <w:rFonts w:hint="eastAsia" w:ascii="仿宋_GB2312" w:eastAsia="仿宋_GB2312" w:cs="宋体"/>
          <w:color w:val="000000"/>
          <w:kern w:val="0"/>
          <w:sz w:val="32"/>
          <w:szCs w:val="32"/>
        </w:rPr>
        <w:t>万元，包括本级支出和对下补助支出，主要为卫生专项支出和计划生育专项支出等。</w:t>
      </w:r>
    </w:p>
    <w:p>
      <w:pPr>
        <w:widowControl/>
        <w:spacing w:line="570" w:lineRule="exact"/>
        <w:ind w:firstLine="643" w:firstLineChars="200"/>
        <w:jc w:val="left"/>
        <w:rPr>
          <w:rFonts w:ascii="楷体_GB2312" w:eastAsia="楷体_GB2312" w:cs="宋体"/>
          <w:b/>
          <w:bCs/>
          <w:color w:val="000000"/>
          <w:kern w:val="0"/>
          <w:sz w:val="32"/>
          <w:szCs w:val="32"/>
        </w:rPr>
      </w:pPr>
      <w:r>
        <w:rPr>
          <w:rFonts w:ascii="楷体_GB2312" w:eastAsia="楷体_GB2312" w:cs="宋体"/>
          <w:b/>
          <w:bCs/>
          <w:color w:val="000000"/>
          <w:kern w:val="0"/>
          <w:sz w:val="32"/>
          <w:szCs w:val="32"/>
        </w:rPr>
        <w:t>3</w:t>
      </w:r>
      <w:r>
        <w:rPr>
          <w:rFonts w:hint="eastAsia" w:ascii="楷体_GB2312" w:eastAsia="楷体_GB2312" w:cs="宋体"/>
          <w:b/>
          <w:bCs/>
          <w:color w:val="000000"/>
          <w:kern w:val="0"/>
          <w:sz w:val="32"/>
          <w:szCs w:val="32"/>
        </w:rPr>
        <w:t>、比上年增减情况</w:t>
      </w:r>
    </w:p>
    <w:p>
      <w:pPr>
        <w:widowControl/>
        <w:spacing w:line="570" w:lineRule="exact"/>
        <w:ind w:firstLine="640" w:firstLineChars="200"/>
        <w:jc w:val="left"/>
        <w:rPr>
          <w:rFonts w:ascii="黑体" w:eastAsia="黑体" w:cs="宋体"/>
          <w:b/>
          <w:bCs/>
          <w:color w:val="000000"/>
          <w:kern w:val="0"/>
          <w:sz w:val="32"/>
          <w:szCs w:val="32"/>
        </w:rPr>
      </w:pP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年预算收支安排</w:t>
      </w:r>
      <w:r>
        <w:rPr>
          <w:rFonts w:ascii="仿宋_GB2312" w:eastAsia="仿宋_GB2312" w:cs="宋体"/>
          <w:color w:val="000000"/>
          <w:kern w:val="0"/>
          <w:sz w:val="32"/>
          <w:szCs w:val="32"/>
        </w:rPr>
        <w:t>5986.61</w:t>
      </w:r>
      <w:r>
        <w:rPr>
          <w:rFonts w:hint="eastAsia" w:ascii="仿宋_GB2312" w:eastAsia="仿宋_GB2312" w:cs="宋体"/>
          <w:color w:val="000000"/>
          <w:kern w:val="0"/>
          <w:sz w:val="32"/>
          <w:szCs w:val="32"/>
        </w:rPr>
        <w:t>万元，较</w:t>
      </w:r>
      <w:r>
        <w:rPr>
          <w:rFonts w:ascii="仿宋_GB2312" w:eastAsia="仿宋_GB2312" w:cs="宋体"/>
          <w:color w:val="000000"/>
          <w:kern w:val="0"/>
          <w:sz w:val="32"/>
          <w:szCs w:val="32"/>
        </w:rPr>
        <w:t>2017</w:t>
      </w:r>
      <w:r>
        <w:rPr>
          <w:rFonts w:hint="eastAsia" w:ascii="仿宋_GB2312" w:eastAsia="仿宋_GB2312" w:cs="宋体"/>
          <w:color w:val="000000"/>
          <w:kern w:val="0"/>
          <w:sz w:val="32"/>
          <w:szCs w:val="32"/>
        </w:rPr>
        <w:t>年预算增加</w:t>
      </w:r>
      <w:r>
        <w:rPr>
          <w:rFonts w:ascii="仿宋_GB2312" w:eastAsia="仿宋_GB2312" w:cs="宋体"/>
          <w:color w:val="000000"/>
          <w:kern w:val="0"/>
          <w:sz w:val="32"/>
          <w:szCs w:val="32"/>
        </w:rPr>
        <w:t>2131.46</w:t>
      </w:r>
      <w:r>
        <w:rPr>
          <w:rFonts w:hint="eastAsia" w:ascii="仿宋_GB2312" w:eastAsia="仿宋_GB2312" w:cs="宋体"/>
          <w:color w:val="000000"/>
          <w:kern w:val="0"/>
          <w:sz w:val="32"/>
          <w:szCs w:val="32"/>
        </w:rPr>
        <w:t>万元，其中：</w:t>
      </w:r>
      <w:r>
        <w:rPr>
          <w:rFonts w:ascii="仿宋_GB2312" w:eastAsia="仿宋_GB2312" w:cs="宋体"/>
          <w:color w:val="000000"/>
          <w:kern w:val="0"/>
          <w:sz w:val="32"/>
          <w:szCs w:val="32"/>
        </w:rPr>
        <w:t xml:space="preserve"> </w:t>
      </w:r>
      <w:r>
        <w:rPr>
          <w:rFonts w:hint="eastAsia" w:ascii="仿宋_GB2312" w:eastAsia="仿宋_GB2312" w:cs="宋体"/>
          <w:color w:val="000000"/>
          <w:kern w:val="0"/>
          <w:sz w:val="32"/>
          <w:szCs w:val="32"/>
        </w:rPr>
        <w:t>基本支出增加</w:t>
      </w:r>
      <w:r>
        <w:rPr>
          <w:rFonts w:ascii="仿宋_GB2312" w:eastAsia="仿宋_GB2312" w:cs="宋体"/>
          <w:color w:val="000000"/>
          <w:kern w:val="0"/>
          <w:sz w:val="32"/>
          <w:szCs w:val="32"/>
        </w:rPr>
        <w:t>27.09</w:t>
      </w:r>
      <w:r>
        <w:rPr>
          <w:rFonts w:hint="eastAsia" w:ascii="仿宋_GB2312" w:eastAsia="仿宋_GB2312" w:cs="宋体"/>
          <w:color w:val="000000"/>
          <w:kern w:val="0"/>
          <w:sz w:val="32"/>
          <w:szCs w:val="32"/>
        </w:rPr>
        <w:t>万元，主要增加为人员经费的支出；项目支出增加</w:t>
      </w:r>
      <w:r>
        <w:rPr>
          <w:rFonts w:ascii="仿宋_GB2312" w:eastAsia="仿宋_GB2312" w:cs="宋体"/>
          <w:color w:val="000000"/>
          <w:kern w:val="0"/>
          <w:sz w:val="32"/>
          <w:szCs w:val="32"/>
        </w:rPr>
        <w:t>2104.37</w:t>
      </w:r>
      <w:r>
        <w:rPr>
          <w:rFonts w:hint="eastAsia" w:ascii="仿宋_GB2312" w:eastAsia="仿宋_GB2312" w:cs="宋体"/>
          <w:color w:val="000000"/>
          <w:kern w:val="0"/>
          <w:sz w:val="32"/>
          <w:szCs w:val="32"/>
        </w:rPr>
        <w:t>万元，主要增加卫生和计划生育项目支出。</w:t>
      </w:r>
      <w:r>
        <w:rPr>
          <w:rFonts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p>
    <w:p>
      <w:pPr>
        <w:widowControl/>
        <w:spacing w:line="570" w:lineRule="exact"/>
        <w:ind w:firstLine="640" w:firstLineChars="200"/>
        <w:jc w:val="left"/>
        <w:rPr>
          <w:rFonts w:ascii="仿宋_GB2312" w:eastAsia="仿宋_GB2312" w:cs="宋体"/>
          <w:color w:val="000000"/>
          <w:kern w:val="0"/>
          <w:sz w:val="32"/>
          <w:szCs w:val="32"/>
        </w:rPr>
      </w:pP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年预算安排我部门机关运行经费</w:t>
      </w:r>
      <w:r>
        <w:rPr>
          <w:rFonts w:ascii="仿宋_GB2312" w:eastAsia="仿宋_GB2312" w:cs="宋体"/>
          <w:color w:val="000000"/>
          <w:kern w:val="0"/>
          <w:sz w:val="32"/>
          <w:szCs w:val="32"/>
        </w:rPr>
        <w:t>119.07</w:t>
      </w:r>
      <w:r>
        <w:rPr>
          <w:rFonts w:hint="eastAsia" w:ascii="仿宋_GB2312" w:eastAsia="仿宋_GB2312" w:cs="宋体"/>
          <w:color w:val="000000"/>
          <w:kern w:val="0"/>
          <w:sz w:val="32"/>
          <w:szCs w:val="32"/>
        </w:rPr>
        <w:t>万元，其中办公经费</w:t>
      </w:r>
      <w:r>
        <w:rPr>
          <w:rFonts w:ascii="仿宋_GB2312" w:eastAsia="仿宋_GB2312" w:cs="宋体"/>
          <w:color w:val="000000"/>
          <w:kern w:val="0"/>
          <w:sz w:val="32"/>
          <w:szCs w:val="32"/>
        </w:rPr>
        <w:t>5.37</w:t>
      </w:r>
      <w:r>
        <w:rPr>
          <w:rFonts w:hint="eastAsia" w:ascii="仿宋_GB2312" w:eastAsia="仿宋_GB2312" w:cs="宋体"/>
          <w:color w:val="000000"/>
          <w:kern w:val="0"/>
          <w:sz w:val="32"/>
          <w:szCs w:val="32"/>
        </w:rPr>
        <w:t>万元，其他业务费</w:t>
      </w:r>
      <w:r>
        <w:rPr>
          <w:rFonts w:ascii="仿宋_GB2312" w:eastAsia="仿宋_GB2312" w:cs="宋体"/>
          <w:color w:val="000000"/>
          <w:kern w:val="0"/>
          <w:sz w:val="32"/>
          <w:szCs w:val="32"/>
        </w:rPr>
        <w:t>113.7</w:t>
      </w:r>
      <w:r>
        <w:rPr>
          <w:rFonts w:hint="eastAsia" w:ascii="仿宋_GB2312" w:eastAsia="仿宋_GB2312" w:cs="宋体"/>
          <w:color w:val="000000"/>
          <w:kern w:val="0"/>
          <w:sz w:val="32"/>
          <w:szCs w:val="32"/>
        </w:rPr>
        <w:t>万元。主要用于机关办公区的日常维修、办公用房水电费、办公用房取暖费、办公用房物业管理费等日常运行支出。</w:t>
      </w:r>
    </w:p>
    <w:p>
      <w:pPr>
        <w:widowControl/>
        <w:spacing w:line="570" w:lineRule="exact"/>
        <w:jc w:val="left"/>
        <w:rPr>
          <w:rFonts w:ascii="黑体" w:eastAsia="黑体" w:cs="宋体"/>
          <w:b/>
          <w:bCs/>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年，我部门“三公”经费预算安排</w:t>
      </w:r>
      <w:r>
        <w:rPr>
          <w:rFonts w:ascii="仿宋_GB2312" w:eastAsia="仿宋_GB2312" w:cs="宋体"/>
          <w:color w:val="000000"/>
          <w:kern w:val="0"/>
          <w:sz w:val="32"/>
          <w:szCs w:val="32"/>
        </w:rPr>
        <w:t>11.5</w:t>
      </w:r>
      <w:r>
        <w:rPr>
          <w:rFonts w:hint="eastAsia" w:ascii="仿宋_GB2312" w:eastAsia="仿宋_GB2312" w:cs="宋体"/>
          <w:color w:val="000000"/>
          <w:kern w:val="0"/>
          <w:sz w:val="32"/>
          <w:szCs w:val="32"/>
        </w:rPr>
        <w:t>万元，其中因公出国（境）费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万元；公务用车购置及运维费</w:t>
      </w:r>
      <w:r>
        <w:rPr>
          <w:rFonts w:ascii="仿宋_GB2312" w:eastAsia="仿宋_GB2312" w:cs="宋体"/>
          <w:color w:val="000000"/>
          <w:kern w:val="0"/>
          <w:sz w:val="32"/>
          <w:szCs w:val="32"/>
        </w:rPr>
        <w:t>11.5</w:t>
      </w:r>
      <w:r>
        <w:rPr>
          <w:rFonts w:hint="eastAsia" w:ascii="仿宋_GB2312" w:eastAsia="仿宋_GB2312" w:cs="宋体"/>
          <w:color w:val="000000"/>
          <w:kern w:val="0"/>
          <w:sz w:val="32"/>
          <w:szCs w:val="32"/>
        </w:rPr>
        <w:t>万元（其中：公务用车购置费为</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万元，公务用车运行费为</w:t>
      </w:r>
      <w:r>
        <w:rPr>
          <w:rFonts w:ascii="仿宋_GB2312" w:eastAsia="仿宋_GB2312" w:cs="宋体"/>
          <w:color w:val="000000"/>
          <w:kern w:val="0"/>
          <w:sz w:val="32"/>
          <w:szCs w:val="32"/>
        </w:rPr>
        <w:t>11.5</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；公务接待费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较</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年增公务用车运行费</w:t>
      </w:r>
      <w:r>
        <w:rPr>
          <w:rFonts w:ascii="仿宋_GB2312" w:eastAsia="仿宋_GB2312" w:cs="宋体"/>
          <w:color w:val="000000"/>
          <w:kern w:val="0"/>
          <w:sz w:val="32"/>
          <w:szCs w:val="32"/>
        </w:rPr>
        <w:t>11.5</w:t>
      </w:r>
      <w:r>
        <w:rPr>
          <w:rFonts w:hint="eastAsia" w:ascii="仿宋_GB2312" w:eastAsia="仿宋_GB2312" w:cs="宋体"/>
          <w:color w:val="000000"/>
          <w:kern w:val="0"/>
          <w:sz w:val="32"/>
          <w:szCs w:val="32"/>
        </w:rPr>
        <w:t>万元，主要原因是2017年无此项预算</w:t>
      </w:r>
      <w:r>
        <w:rPr>
          <w:rFonts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r>
        <w:rPr>
          <w:rFonts w:ascii="黑体" w:eastAsia="黑体" w:cs="宋体"/>
          <w:color w:val="000000"/>
          <w:kern w:val="0"/>
          <w:sz w:val="32"/>
          <w:szCs w:val="32"/>
        </w:rPr>
        <w:br w:type="textWrapping"/>
      </w:r>
      <w:r>
        <w:rPr>
          <w:rFonts w:hint="eastAsia" w:ascii="仿宋_GB2312" w:eastAsia="仿宋_GB2312" w:cs="宋体"/>
          <w:b/>
          <w:bCs/>
          <w:color w:val="000000"/>
          <w:kern w:val="0"/>
          <w:sz w:val="32"/>
          <w:szCs w:val="32"/>
        </w:rPr>
        <w:t>总体绩效目标：</w:t>
      </w:r>
      <w:r>
        <w:rPr>
          <w:rFonts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坚持以“方便群众办证，提高群众满意度”为原则，把方便群众办理证件作为转变工作作风、密切联系群众的重要抓手，全面实行一次性告知制、限时办结制和服务承诺制等制度，杜绝办理证件推诿情形的发生。努力推动实现人口计生工作从重管理到重服务的职能转变，寓管理于服务之中，提高服务效率。</w:t>
      </w:r>
    </w:p>
    <w:p>
      <w:pPr>
        <w:widowControl/>
        <w:spacing w:line="570" w:lineRule="exact"/>
        <w:ind w:left="160" w:leftChars="76" w:firstLine="480" w:firstLineChars="150"/>
        <w:jc w:val="left"/>
        <w:rPr>
          <w:rFonts w:ascii="宋体" w:hAnsi="宋体" w:eastAsia="仿宋_GB2312" w:cs="宋体"/>
          <w:color w:val="000000"/>
          <w:kern w:val="0"/>
          <w:sz w:val="32"/>
          <w:szCs w:val="32"/>
        </w:rPr>
      </w:pPr>
    </w:p>
    <w:p>
      <w:pPr>
        <w:spacing w:line="570" w:lineRule="exac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职责分类绩效目标：</w:t>
      </w:r>
      <w:r>
        <w:rPr>
          <w:rFonts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开展卫生计生规划、统计、法制、政策研究、宣传教育、行业改革，拟定行业标准，监督政策落实等各项综合业务工作。保障卫生计生法律法规的落实，提升卫生计生工作规范化和法制化水平。</w:t>
      </w:r>
    </w:p>
    <w:p>
      <w:pPr>
        <w:spacing w:line="570" w:lineRule="exact"/>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部门职责</w:t>
      </w:r>
      <w:r>
        <w:rPr>
          <w:rFonts w:ascii="仿宋_GB2312" w:eastAsia="仿宋_GB2312" w:cs="宋体"/>
          <w:b/>
          <w:bCs/>
          <w:color w:val="000000"/>
          <w:kern w:val="0"/>
          <w:sz w:val="32"/>
          <w:szCs w:val="32"/>
        </w:rPr>
        <w:t>-</w:t>
      </w:r>
      <w:r>
        <w:rPr>
          <w:rFonts w:hint="eastAsia" w:ascii="仿宋_GB2312" w:eastAsia="仿宋_GB2312" w:cs="宋体"/>
          <w:b/>
          <w:bCs/>
          <w:color w:val="000000"/>
          <w:kern w:val="0"/>
          <w:sz w:val="32"/>
          <w:szCs w:val="32"/>
        </w:rPr>
        <w:t>工作活动绩效目标：</w:t>
      </w:r>
    </w:p>
    <w:p>
      <w:pPr>
        <w:spacing w:line="570" w:lineRule="exact"/>
        <w:jc w:val="center"/>
        <w:outlineLvl w:val="0"/>
        <w:rPr>
          <w:rFonts w:ascii="方正小标宋_GBK" w:eastAsia="方正小标宋_GBK"/>
          <w:sz w:val="32"/>
        </w:rPr>
      </w:pPr>
      <w:bookmarkStart w:id="0" w:name="_Toc505245525"/>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bookmarkEnd w:id="0"/>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570" w:lineRule="exact"/>
              <w:jc w:val="left"/>
              <w:rPr>
                <w:rFonts w:ascii="方正小标宋_GBK" w:eastAsia="方正小标宋_GBK"/>
                <w:sz w:val="24"/>
              </w:rPr>
            </w:pPr>
            <w:r>
              <w:rPr>
                <w:rFonts w:ascii="方正小标宋_GBK" w:eastAsia="方正小标宋_GBK"/>
                <w:sz w:val="24"/>
              </w:rPr>
              <w:t>570</w:t>
            </w:r>
            <w:r>
              <w:rPr>
                <w:rFonts w:hint="eastAsia" w:ascii="方正小标宋_GBK" w:eastAsia="方正小标宋_GBK"/>
                <w:sz w:val="24"/>
              </w:rPr>
              <w:t>廊坊市广阳区卫生和计划生育局</w:t>
            </w:r>
          </w:p>
        </w:tc>
        <w:tc>
          <w:tcPr>
            <w:tcW w:w="2948" w:type="dxa"/>
            <w:gridSpan w:val="4"/>
            <w:tcBorders>
              <w:top w:val="single" w:color="FFFFFF" w:sz="6" w:space="0"/>
              <w:left w:val="single" w:color="FFFFFF" w:sz="6" w:space="0"/>
              <w:right w:val="single" w:color="FFFFFF" w:sz="6" w:space="0"/>
            </w:tcBorders>
            <w:vAlign w:val="center"/>
          </w:tcPr>
          <w:p>
            <w:pPr>
              <w:spacing w:line="57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restart"/>
            <w:vAlign w:val="center"/>
          </w:tcPr>
          <w:p>
            <w:pPr>
              <w:spacing w:line="57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57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57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57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57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57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Merge w:val="continue"/>
            <w:vAlign w:val="center"/>
          </w:tcPr>
          <w:p/>
        </w:tc>
        <w:tc>
          <w:tcPr>
            <w:tcW w:w="737" w:type="dxa"/>
            <w:vAlign w:val="center"/>
          </w:tcPr>
          <w:p>
            <w:pPr>
              <w:spacing w:line="57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57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57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57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570" w:lineRule="exact"/>
              <w:jc w:val="left"/>
              <w:rPr>
                <w:rFonts w:ascii="方正书宋_GBK" w:eastAsia="方正书宋_GBK"/>
                <w:b/>
              </w:rPr>
            </w:pPr>
            <w:r>
              <w:rPr>
                <w:rFonts w:hint="eastAsia" w:ascii="方正书宋_GBK" w:eastAsia="方正书宋_GBK"/>
                <w:b/>
              </w:rPr>
              <w:t>一、公共卫生服务</w:t>
            </w:r>
          </w:p>
        </w:tc>
        <w:tc>
          <w:tcPr>
            <w:tcW w:w="1276" w:type="dxa"/>
            <w:vAlign w:val="center"/>
          </w:tcPr>
          <w:p>
            <w:pPr>
              <w:spacing w:line="570" w:lineRule="exact"/>
              <w:jc w:val="left"/>
              <w:rPr>
                <w:rFonts w:ascii="方正书宋_GBK" w:eastAsia="方正书宋_GBK"/>
              </w:rPr>
            </w:pPr>
            <w:r>
              <w:rPr>
                <w:rFonts w:ascii="方正书宋_GBK" w:eastAsia="方正书宋_GBK"/>
              </w:rPr>
              <w:t>1894.77</w:t>
            </w:r>
          </w:p>
        </w:tc>
        <w:tc>
          <w:tcPr>
            <w:tcW w:w="2976" w:type="dxa"/>
            <w:vAlign w:val="center"/>
          </w:tcPr>
          <w:p>
            <w:pPr>
              <w:spacing w:line="570" w:lineRule="exact"/>
              <w:jc w:val="left"/>
              <w:rPr>
                <w:rFonts w:ascii="方正书宋_GBK" w:eastAsia="方正书宋_GBK"/>
              </w:rPr>
            </w:pPr>
            <w:r>
              <w:rPr>
                <w:rFonts w:hint="eastAsia" w:ascii="方正书宋_GBK" w:eastAsia="方正书宋_GBK"/>
              </w:rPr>
              <w:t>疾病预防控制</w:t>
            </w:r>
          </w:p>
        </w:tc>
        <w:tc>
          <w:tcPr>
            <w:tcW w:w="2976" w:type="dxa"/>
            <w:vAlign w:val="center"/>
          </w:tcPr>
          <w:p>
            <w:pPr>
              <w:spacing w:line="570" w:lineRule="exact"/>
              <w:jc w:val="left"/>
              <w:rPr>
                <w:rFonts w:ascii="方正书宋_GBK" w:eastAsia="方正书宋_GBK"/>
              </w:rPr>
            </w:pPr>
            <w:r>
              <w:rPr>
                <w:rFonts w:hint="eastAsia" w:ascii="方正书宋_GBK" w:eastAsia="方正书宋_GBK"/>
              </w:rPr>
              <w:t>疾病预防与控制、．突发公共卫生事件应急处置、疫情及健康相关因素信息管理、健康危害因素监测与干预、实验室检测检验与评价、健康教育与健康促进、技术管理与应用研究指导</w:t>
            </w:r>
          </w:p>
        </w:tc>
        <w:tc>
          <w:tcPr>
            <w:tcW w:w="1417" w:type="dxa"/>
            <w:vAlign w:val="center"/>
          </w:tcPr>
          <w:p>
            <w:pPr>
              <w:spacing w:line="570" w:lineRule="exact"/>
              <w:jc w:val="left"/>
              <w:rPr>
                <w:rFonts w:ascii="方正书宋_GBK" w:eastAsia="方正书宋_GBK"/>
              </w:rPr>
            </w:pPr>
          </w:p>
        </w:tc>
        <w:tc>
          <w:tcPr>
            <w:tcW w:w="737" w:type="dxa"/>
            <w:vAlign w:val="center"/>
          </w:tcPr>
          <w:p>
            <w:pPr>
              <w:spacing w:line="570" w:lineRule="exact"/>
              <w:jc w:val="center"/>
              <w:rPr>
                <w:rFonts w:ascii="方正书宋_GBK" w:eastAsia="方正书宋_GBK"/>
              </w:rPr>
            </w:pPr>
          </w:p>
        </w:tc>
        <w:tc>
          <w:tcPr>
            <w:tcW w:w="737" w:type="dxa"/>
            <w:vAlign w:val="center"/>
          </w:tcPr>
          <w:p>
            <w:pPr>
              <w:spacing w:line="570" w:lineRule="exact"/>
              <w:jc w:val="center"/>
              <w:rPr>
                <w:rFonts w:ascii="方正书宋_GBK" w:eastAsia="方正书宋_GBK"/>
              </w:rPr>
            </w:pPr>
          </w:p>
        </w:tc>
        <w:tc>
          <w:tcPr>
            <w:tcW w:w="737" w:type="dxa"/>
            <w:vAlign w:val="center"/>
          </w:tcPr>
          <w:p>
            <w:pPr>
              <w:spacing w:line="570" w:lineRule="exact"/>
              <w:jc w:val="center"/>
              <w:rPr>
                <w:rFonts w:ascii="方正书宋_GBK" w:eastAsia="方正书宋_GBK"/>
              </w:rPr>
            </w:pPr>
          </w:p>
        </w:tc>
        <w:tc>
          <w:tcPr>
            <w:tcW w:w="737" w:type="dxa"/>
            <w:vAlign w:val="center"/>
          </w:tcPr>
          <w:p>
            <w:pPr>
              <w:spacing w:line="57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57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、基本公共卫生服务</w:t>
            </w:r>
          </w:p>
        </w:tc>
        <w:tc>
          <w:tcPr>
            <w:tcW w:w="1276" w:type="dxa"/>
            <w:vAlign w:val="center"/>
          </w:tcPr>
          <w:p>
            <w:pPr>
              <w:spacing w:line="570" w:lineRule="exact"/>
              <w:jc w:val="left"/>
              <w:rPr>
                <w:rFonts w:ascii="方正书宋_GBK" w:eastAsia="方正书宋_GBK"/>
              </w:rPr>
            </w:pPr>
            <w:r>
              <w:rPr>
                <w:rFonts w:ascii="方正书宋_GBK" w:eastAsia="方正书宋_GBK"/>
              </w:rPr>
              <w:t>1852.77</w:t>
            </w:r>
          </w:p>
        </w:tc>
        <w:tc>
          <w:tcPr>
            <w:tcW w:w="2976" w:type="dxa"/>
            <w:vAlign w:val="center"/>
          </w:tcPr>
          <w:p>
            <w:pPr>
              <w:spacing w:line="570" w:lineRule="exact"/>
              <w:jc w:val="left"/>
              <w:rPr>
                <w:rFonts w:ascii="方正书宋_GBK" w:eastAsia="方正书宋_GBK"/>
              </w:rPr>
            </w:pPr>
            <w:r>
              <w:rPr>
                <w:rFonts w:hint="eastAsia" w:ascii="方正书宋_GBK" w:eastAsia="方正书宋_GBK"/>
              </w:rPr>
              <w:t>按照国家基本公共卫生服务项目《规范》，组织全市基层医疗卫生机构开展实施基本公共卫生服务项目。</w:t>
            </w:r>
          </w:p>
        </w:tc>
        <w:tc>
          <w:tcPr>
            <w:tcW w:w="2976" w:type="dxa"/>
            <w:vAlign w:val="center"/>
          </w:tcPr>
          <w:p>
            <w:pPr>
              <w:spacing w:line="570" w:lineRule="exact"/>
              <w:jc w:val="left"/>
              <w:rPr>
                <w:rFonts w:ascii="方正书宋_GBK" w:eastAsia="方正书宋_GBK"/>
              </w:rPr>
            </w:pPr>
            <w:r>
              <w:rPr>
                <w:rFonts w:hint="eastAsia" w:ascii="方正书宋_GBK" w:eastAsia="方正书宋_GBK"/>
              </w:rPr>
              <w:t>对城乡居民健康实行干预，减少危害健康的因素，有效预防传染病及慢性病，使其享有平等的基本卫生服务。</w:t>
            </w:r>
          </w:p>
        </w:tc>
        <w:tc>
          <w:tcPr>
            <w:tcW w:w="1417" w:type="dxa"/>
            <w:vAlign w:val="center"/>
          </w:tcPr>
          <w:p>
            <w:pPr>
              <w:spacing w:line="570" w:lineRule="exact"/>
              <w:jc w:val="left"/>
              <w:rPr>
                <w:rFonts w:ascii="方正书宋_GBK" w:eastAsia="方正书宋_GBK"/>
              </w:rPr>
            </w:pPr>
            <w:r>
              <w:rPr>
                <w:rFonts w:hint="eastAsia" w:ascii="方正书宋_GBK" w:eastAsia="方正书宋_GBK"/>
              </w:rPr>
              <w:t>居民健康档案总体建档率</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高于省要求</w:t>
            </w:r>
            <w:r>
              <w:rPr>
                <w:rFonts w:ascii="方正书宋_GBK" w:eastAsia="方正书宋_GBK"/>
              </w:rPr>
              <w:t>10</w:t>
            </w:r>
            <w:r>
              <w:rPr>
                <w:rFonts w:hint="eastAsia" w:ascii="方正书宋_GBK" w:eastAsia="方正书宋_GBK"/>
              </w:rPr>
              <w:t>个百分点</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高于省要求</w:t>
            </w:r>
            <w:r>
              <w:rPr>
                <w:rFonts w:ascii="方正书宋_GBK" w:eastAsia="方正书宋_GBK"/>
              </w:rPr>
              <w:t>5</w:t>
            </w:r>
            <w:r>
              <w:rPr>
                <w:rFonts w:hint="eastAsia" w:ascii="方正书宋_GBK" w:eastAsia="方正书宋_GBK"/>
              </w:rPr>
              <w:t>个百分点</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高于省要求</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低于省要求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vAlign w:val="center"/>
          </w:tcPr>
          <w:p>
            <w:pPr>
              <w:spacing w:line="57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、疾病预防控制</w:t>
            </w:r>
          </w:p>
        </w:tc>
        <w:tc>
          <w:tcPr>
            <w:tcW w:w="1276" w:type="dxa"/>
            <w:vMerge w:val="restart"/>
            <w:vAlign w:val="center"/>
          </w:tcPr>
          <w:p>
            <w:pPr>
              <w:spacing w:line="570" w:lineRule="exact"/>
              <w:jc w:val="left"/>
              <w:rPr>
                <w:rFonts w:ascii="方正书宋_GBK" w:eastAsia="方正书宋_GBK"/>
              </w:rPr>
            </w:pPr>
            <w:r>
              <w:rPr>
                <w:rFonts w:ascii="方正书宋_GBK" w:eastAsia="方正书宋_GBK"/>
              </w:rPr>
              <w:t>3.00</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组织开展全市重大疾病防治，落实免疫规划、严重危害人民健康的公共卫生问题的干预措施，完善疾病预防控制体系。</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提高重点疾病监测水平，有效落实疾病防控措施。</w:t>
            </w:r>
          </w:p>
        </w:tc>
        <w:tc>
          <w:tcPr>
            <w:tcW w:w="1417" w:type="dxa"/>
            <w:vAlign w:val="center"/>
          </w:tcPr>
          <w:p>
            <w:pPr>
              <w:spacing w:line="570" w:lineRule="exact"/>
              <w:jc w:val="left"/>
              <w:rPr>
                <w:rFonts w:ascii="方正书宋_GBK" w:eastAsia="方正书宋_GBK"/>
              </w:rPr>
            </w:pPr>
            <w:r>
              <w:rPr>
                <w:rFonts w:hint="eastAsia" w:ascii="方正书宋_GBK" w:eastAsia="方正书宋_GBK"/>
              </w:rPr>
              <w:t>疫情报告管理率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57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职业健康监护开展率</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60.00%</w:t>
            </w:r>
          </w:p>
        </w:tc>
        <w:tc>
          <w:tcPr>
            <w:tcW w:w="737" w:type="dxa"/>
            <w:vAlign w:val="center"/>
          </w:tcPr>
          <w:p>
            <w:pPr>
              <w:spacing w:line="57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适龄儿童免疫规划疫苗接种率</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w:t>
            </w:r>
            <w:r>
              <w:rPr>
                <w:rFonts w:ascii="方正书宋_GBK" w:eastAsia="方正书宋_GBK"/>
              </w:rPr>
              <w:t>61%</w:t>
            </w:r>
          </w:p>
        </w:tc>
        <w:tc>
          <w:tcPr>
            <w:tcW w:w="737" w:type="dxa"/>
            <w:vAlign w:val="center"/>
          </w:tcPr>
          <w:p>
            <w:pPr>
              <w:spacing w:line="57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重点疾病监测管理率</w:t>
            </w:r>
          </w:p>
        </w:tc>
        <w:tc>
          <w:tcPr>
            <w:tcW w:w="737" w:type="dxa"/>
            <w:vAlign w:val="center"/>
          </w:tcPr>
          <w:p>
            <w:pPr>
              <w:spacing w:line="570" w:lineRule="exact"/>
              <w:jc w:val="center"/>
              <w:rPr>
                <w:rFonts w:ascii="方正书宋_GBK" w:eastAsia="方正书宋_GBK"/>
              </w:rPr>
            </w:pPr>
            <w:r>
              <w:rPr>
                <w:rFonts w:ascii="方正书宋_GBK" w:eastAsia="方正书宋_GBK"/>
              </w:rPr>
              <w:t>60.00%</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w:t>
            </w:r>
            <w:r>
              <w:rPr>
                <w:rFonts w:ascii="方正书宋_GBK" w:eastAsia="方正书宋_GBK"/>
              </w:rPr>
              <w:t>45%</w:t>
            </w:r>
          </w:p>
        </w:tc>
        <w:tc>
          <w:tcPr>
            <w:tcW w:w="737" w:type="dxa"/>
            <w:vAlign w:val="center"/>
          </w:tcPr>
          <w:p>
            <w:pPr>
              <w:spacing w:line="570" w:lineRule="exact"/>
              <w:jc w:val="center"/>
              <w:rPr>
                <w:rFonts w:ascii="方正书宋_GBK" w:eastAsia="方正书宋_GBK"/>
              </w:rPr>
            </w:pPr>
            <w:r>
              <w:rPr>
                <w:rFonts w:ascii="方正书宋_GBK" w:eastAsia="方正书宋_GBK"/>
              </w:rPr>
              <w:t>45%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vAlign w:val="center"/>
          </w:tcPr>
          <w:p>
            <w:pPr>
              <w:spacing w:line="57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、妇幼卫生</w:t>
            </w:r>
          </w:p>
        </w:tc>
        <w:tc>
          <w:tcPr>
            <w:tcW w:w="1276" w:type="dxa"/>
            <w:vMerge w:val="restart"/>
            <w:vAlign w:val="center"/>
          </w:tcPr>
          <w:p>
            <w:pPr>
              <w:spacing w:line="570" w:lineRule="exact"/>
              <w:jc w:val="left"/>
              <w:rPr>
                <w:rFonts w:ascii="方正书宋_GBK" w:eastAsia="方正书宋_GBK"/>
              </w:rPr>
            </w:pPr>
            <w:r>
              <w:rPr>
                <w:rFonts w:ascii="方正书宋_GBK" w:eastAsia="方正书宋_GBK"/>
              </w:rPr>
              <w:t>39.00</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对我市准备怀孕的农村妇女免费增补叶酸预防神经管缺陷；免费为农村妇女进行宫颈癌和乳腺癌筛查；对我市农村孕产妇在医院进行分娩进行补助；阻断母婴间疾病垂直传播；实施“降消”及贫困地区儿童营养改善等妇幼卫生项目；对我市妇女儿童健康状况进行监测，开展孕产妇死亡、岁以下儿童死亡及出生缺陷监测。</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提高妇女儿童健康水平和出生人口素质。</w:t>
            </w:r>
          </w:p>
        </w:tc>
        <w:tc>
          <w:tcPr>
            <w:tcW w:w="1417" w:type="dxa"/>
            <w:vAlign w:val="center"/>
          </w:tcPr>
          <w:p>
            <w:pPr>
              <w:spacing w:line="570" w:lineRule="exact"/>
              <w:jc w:val="left"/>
              <w:rPr>
                <w:rFonts w:ascii="方正书宋_GBK" w:eastAsia="方正书宋_GBK"/>
              </w:rPr>
            </w:pPr>
            <w:r>
              <w:rPr>
                <w:rFonts w:hint="eastAsia" w:ascii="方正书宋_GBK" w:eastAsia="方正书宋_GBK"/>
              </w:rPr>
              <w:t>新生儿疾病筛查率</w:t>
            </w:r>
          </w:p>
        </w:tc>
        <w:tc>
          <w:tcPr>
            <w:tcW w:w="737" w:type="dxa"/>
            <w:vAlign w:val="center"/>
          </w:tcPr>
          <w:p>
            <w:pPr>
              <w:spacing w:line="570" w:lineRule="exact"/>
              <w:jc w:val="center"/>
              <w:rPr>
                <w:rFonts w:ascii="方正书宋_GBK" w:eastAsia="方正书宋_GBK"/>
              </w:rPr>
            </w:pPr>
            <w:r>
              <w:rPr>
                <w:rFonts w:ascii="方正书宋_GBK" w:eastAsia="方正书宋_GBK"/>
              </w:rPr>
              <w:t>85%</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75.00%</w:t>
            </w:r>
          </w:p>
        </w:tc>
        <w:tc>
          <w:tcPr>
            <w:tcW w:w="737" w:type="dxa"/>
            <w:vAlign w:val="center"/>
          </w:tcPr>
          <w:p>
            <w:pPr>
              <w:spacing w:line="570" w:lineRule="exact"/>
              <w:jc w:val="center"/>
              <w:rPr>
                <w:rFonts w:ascii="方正书宋_GBK" w:eastAsia="方正书宋_GBK"/>
              </w:rPr>
            </w:pPr>
            <w:r>
              <w:rPr>
                <w:rFonts w:ascii="方正书宋_GBK" w:eastAsia="方正书宋_GBK"/>
              </w:rPr>
              <w:t>75%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ascii="方正书宋_GBK" w:eastAsia="方正书宋_GBK"/>
              </w:rPr>
              <w:t>5</w:t>
            </w:r>
            <w:r>
              <w:rPr>
                <w:rFonts w:hint="eastAsia" w:ascii="方正书宋_GBK" w:eastAsia="方正书宋_GBK"/>
              </w:rPr>
              <w:t>岁以下儿童死亡率</w:t>
            </w:r>
          </w:p>
        </w:tc>
        <w:tc>
          <w:tcPr>
            <w:tcW w:w="737" w:type="dxa"/>
            <w:vAlign w:val="center"/>
          </w:tcPr>
          <w:p>
            <w:pPr>
              <w:spacing w:line="570" w:lineRule="exact"/>
              <w:jc w:val="center"/>
              <w:rPr>
                <w:rFonts w:ascii="方正书宋_GBK" w:eastAsia="方正书宋_GBK"/>
              </w:rPr>
            </w:pPr>
            <w:r>
              <w:rPr>
                <w:rFonts w:ascii="方正书宋_GBK" w:eastAsia="方正书宋_GBK"/>
              </w:rPr>
              <w:t>12</w:t>
            </w:r>
            <w:r>
              <w:rPr>
                <w:rFonts w:hint="eastAsia" w:ascii="方正书宋_GBK" w:eastAsia="方正书宋_GBK"/>
              </w:rPr>
              <w:t>‰合格。</w:t>
            </w:r>
          </w:p>
        </w:tc>
        <w:tc>
          <w:tcPr>
            <w:tcW w:w="737" w:type="dxa"/>
            <w:vAlign w:val="center"/>
          </w:tcPr>
          <w:p>
            <w:pPr>
              <w:spacing w:line="570" w:lineRule="exact"/>
              <w:jc w:val="center"/>
              <w:rPr>
                <w:rFonts w:ascii="方正书宋_GBK" w:eastAsia="方正书宋_GBK"/>
              </w:rPr>
            </w:pPr>
            <w:r>
              <w:rPr>
                <w:rFonts w:ascii="方正书宋_GBK" w:eastAsia="方正书宋_GBK"/>
              </w:rPr>
              <w:t>15</w:t>
            </w:r>
            <w:r>
              <w:rPr>
                <w:rFonts w:hint="eastAsia" w:ascii="方正书宋_GBK" w:eastAsia="方正书宋_GBK"/>
              </w:rPr>
              <w:t>‰</w:t>
            </w:r>
          </w:p>
        </w:tc>
        <w:tc>
          <w:tcPr>
            <w:tcW w:w="737" w:type="dxa"/>
            <w:vAlign w:val="center"/>
          </w:tcPr>
          <w:p>
            <w:pPr>
              <w:spacing w:line="570" w:lineRule="exact"/>
              <w:jc w:val="center"/>
              <w:rPr>
                <w:rFonts w:ascii="方正书宋_GBK" w:eastAsia="方正书宋_GBK"/>
              </w:rPr>
            </w:pPr>
            <w:r>
              <w:rPr>
                <w:rFonts w:ascii="方正书宋_GBK" w:eastAsia="方正书宋_GBK"/>
              </w:rPr>
              <w:t>20</w:t>
            </w:r>
            <w:r>
              <w:rPr>
                <w:rFonts w:hint="eastAsia" w:ascii="方正书宋_GBK" w:eastAsia="方正书宋_GBK"/>
              </w:rPr>
              <w:t>‰</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大于</w:t>
            </w:r>
            <w:r>
              <w:rPr>
                <w:rFonts w:ascii="方正书宋_GBK" w:eastAsia="方正书宋_GBK"/>
              </w:rPr>
              <w:t>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孕产妇死亡率</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十万分之二十四合格</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十万分之三十</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十万分之三十五</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大于十万分之三十五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vAlign w:val="center"/>
          </w:tcPr>
          <w:p>
            <w:pPr>
              <w:spacing w:line="57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、食品安全标准和重大食品安全事业处置</w:t>
            </w:r>
          </w:p>
        </w:tc>
        <w:tc>
          <w:tcPr>
            <w:tcW w:w="1276" w:type="dxa"/>
            <w:vMerge w:val="restart"/>
            <w:vAlign w:val="center"/>
          </w:tcPr>
          <w:p>
            <w:pPr>
              <w:spacing w:line="570" w:lineRule="exact"/>
              <w:jc w:val="left"/>
              <w:rPr>
                <w:rFonts w:ascii="方正书宋_GBK" w:eastAsia="方正书宋_GBK"/>
              </w:rPr>
            </w:pP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组织实施全市食品安全风险监测和食品安全标准跟踪评价工作；开展食品安全宣传和风险交流；开展食品安全地方标准的制（修）订及企业标准备案工作；食品安全风险监测预警评估机构建设。</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健全食品安全标准体系和食品安全风险监测体系，提高我省食品安全风险监测预警能力。</w:t>
            </w:r>
          </w:p>
        </w:tc>
        <w:tc>
          <w:tcPr>
            <w:tcW w:w="1417" w:type="dxa"/>
            <w:vAlign w:val="center"/>
          </w:tcPr>
          <w:p>
            <w:pPr>
              <w:spacing w:line="570" w:lineRule="exact"/>
              <w:jc w:val="left"/>
              <w:rPr>
                <w:rFonts w:ascii="方正书宋_GBK" w:eastAsia="方正书宋_GBK"/>
              </w:rPr>
            </w:pPr>
            <w:r>
              <w:rPr>
                <w:rFonts w:hint="eastAsia" w:ascii="方正书宋_GBK" w:eastAsia="方正书宋_GBK"/>
              </w:rPr>
              <w:t>食品安全风险监测覆盖率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57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食源性监测哨点医院信息反馈率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95.00%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食品污染物及有害因素县级监测覆盖率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95.00%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570" w:lineRule="exact"/>
              <w:jc w:val="left"/>
              <w:rPr>
                <w:rFonts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、公共场所卫生监督</w:t>
            </w:r>
          </w:p>
        </w:tc>
        <w:tc>
          <w:tcPr>
            <w:tcW w:w="1276" w:type="dxa"/>
            <w:vAlign w:val="center"/>
          </w:tcPr>
          <w:p>
            <w:pPr>
              <w:spacing w:line="570" w:lineRule="exact"/>
              <w:jc w:val="left"/>
              <w:rPr>
                <w:rFonts w:ascii="方正书宋_GBK" w:eastAsia="方正书宋_GBK"/>
              </w:rPr>
            </w:pPr>
          </w:p>
        </w:tc>
        <w:tc>
          <w:tcPr>
            <w:tcW w:w="2976" w:type="dxa"/>
            <w:vAlign w:val="center"/>
          </w:tcPr>
          <w:p>
            <w:pPr>
              <w:spacing w:line="570" w:lineRule="exact"/>
              <w:jc w:val="left"/>
              <w:rPr>
                <w:rFonts w:ascii="方正书宋_GBK" w:eastAsia="方正书宋_GBK"/>
              </w:rPr>
            </w:pPr>
            <w:r>
              <w:rPr>
                <w:rFonts w:hint="eastAsia" w:ascii="方正书宋_GBK" w:eastAsia="方正书宋_GBK"/>
              </w:rPr>
              <w:t>项目包括三个方面的主要内容：第一，全年实施公共场所卫生的日常监督管理工作，管理范围为片区爱民道以北至北外环以南所有公共场所。监督覆盖率达到</w:t>
            </w:r>
            <w:r>
              <w:rPr>
                <w:rFonts w:ascii="方正书宋_GBK" w:eastAsia="方正书宋_GBK"/>
              </w:rPr>
              <w:t>100%</w:t>
            </w:r>
            <w:r>
              <w:rPr>
                <w:rFonts w:hint="eastAsia" w:ascii="方正书宋_GBK" w:eastAsia="方正书宋_GBK"/>
              </w:rPr>
              <w:t>；第二，进行公共场所空气及环境抽检工作，并对辖区内的公共场所经营者进行卫生管理方面的培训；第三，同市级监督所达成同步，完成省市级监督所下达的相关工作。</w:t>
            </w:r>
          </w:p>
        </w:tc>
        <w:tc>
          <w:tcPr>
            <w:tcW w:w="2976" w:type="dxa"/>
            <w:vAlign w:val="center"/>
          </w:tcPr>
          <w:p>
            <w:pPr>
              <w:spacing w:line="570" w:lineRule="exact"/>
              <w:jc w:val="left"/>
              <w:rPr>
                <w:rFonts w:ascii="方正书宋_GBK" w:eastAsia="方正书宋_GBK"/>
              </w:rPr>
            </w:pPr>
            <w:r>
              <w:rPr>
                <w:rFonts w:hint="eastAsia" w:ascii="方正书宋_GBK" w:eastAsia="方正书宋_GBK"/>
              </w:rPr>
              <w:t>我辖区监督覆盖率达到</w:t>
            </w:r>
            <w:r>
              <w:rPr>
                <w:rFonts w:ascii="方正书宋_GBK" w:eastAsia="方正书宋_GBK"/>
              </w:rPr>
              <w:t>100%</w:t>
            </w:r>
            <w:r>
              <w:rPr>
                <w:rFonts w:hint="eastAsia" w:ascii="方正书宋_GBK" w:eastAsia="方正书宋_GBK"/>
              </w:rPr>
              <w:t>。环境检测率达到</w:t>
            </w:r>
            <w:r>
              <w:rPr>
                <w:rFonts w:ascii="方正书宋_GBK" w:eastAsia="方正书宋_GBK"/>
              </w:rPr>
              <w:t>100%</w:t>
            </w:r>
            <w:r>
              <w:rPr>
                <w:rFonts w:hint="eastAsia" w:ascii="方正书宋_GBK" w:eastAsia="方正书宋_GBK"/>
              </w:rPr>
              <w:t>。辖区内所有从业人员持证上岗率达到</w:t>
            </w:r>
            <w:r>
              <w:rPr>
                <w:rFonts w:ascii="方正书宋_GBK" w:eastAsia="方正书宋_GBK"/>
              </w:rPr>
              <w:t>100%</w:t>
            </w:r>
            <w:r>
              <w:rPr>
                <w:rFonts w:hint="eastAsia" w:ascii="方正书宋_GBK" w:eastAsia="方正书宋_GBK"/>
              </w:rPr>
              <w:t>。准时、准确的完成省市级下发的相关临时性工作。</w:t>
            </w:r>
          </w:p>
        </w:tc>
        <w:tc>
          <w:tcPr>
            <w:tcW w:w="1417" w:type="dxa"/>
            <w:vAlign w:val="center"/>
          </w:tcPr>
          <w:p>
            <w:pPr>
              <w:spacing w:line="570" w:lineRule="exact"/>
              <w:jc w:val="left"/>
              <w:rPr>
                <w:rFonts w:ascii="方正书宋_GBK" w:eastAsia="方正书宋_GBK"/>
              </w:rPr>
            </w:pPr>
            <w:r>
              <w:rPr>
                <w:rFonts w:hint="eastAsia" w:ascii="方正书宋_GBK" w:eastAsia="方正书宋_GBK"/>
              </w:rPr>
              <w:t>完成我辖区监督覆盖率达到</w:t>
            </w:r>
            <w:r>
              <w:rPr>
                <w:rFonts w:ascii="方正书宋_GBK" w:eastAsia="方正书宋_GBK"/>
              </w:rPr>
              <w:t>100%</w:t>
            </w:r>
            <w:r>
              <w:rPr>
                <w:rFonts w:hint="eastAsia" w:ascii="方正书宋_GBK" w:eastAsia="方正书宋_GBK"/>
              </w:rPr>
              <w:t>。环境检测率达到</w:t>
            </w:r>
            <w:r>
              <w:rPr>
                <w:rFonts w:ascii="方正书宋_GBK" w:eastAsia="方正书宋_GBK"/>
              </w:rPr>
              <w:t>100%</w:t>
            </w:r>
            <w:r>
              <w:rPr>
                <w:rFonts w:hint="eastAsia" w:ascii="方正书宋_GBK" w:eastAsia="方正书宋_GBK"/>
              </w:rPr>
              <w:t>。辖区内所有从业人员持证上岗率达到</w:t>
            </w:r>
            <w:r>
              <w:rPr>
                <w:rFonts w:ascii="方正书宋_GBK" w:eastAsia="方正书宋_GBK"/>
              </w:rPr>
              <w:t>100%</w:t>
            </w:r>
            <w:r>
              <w:rPr>
                <w:rFonts w:hint="eastAsia" w:ascii="方正书宋_GBK" w:eastAsia="方正书宋_GBK"/>
              </w:rPr>
              <w:t>。准时、准确的完成省市级下发的相关临时性工作。</w:t>
            </w:r>
          </w:p>
        </w:tc>
        <w:tc>
          <w:tcPr>
            <w:tcW w:w="737" w:type="dxa"/>
            <w:vAlign w:val="center"/>
          </w:tcPr>
          <w:p>
            <w:pPr>
              <w:spacing w:line="570" w:lineRule="exact"/>
              <w:jc w:val="center"/>
              <w:rPr>
                <w:rFonts w:ascii="方正书宋_GBK" w:eastAsia="方正书宋_GBK"/>
              </w:rPr>
            </w:pPr>
            <w:r>
              <w:rPr>
                <w:rFonts w:ascii="方正书宋_GBK" w:eastAsia="方正书宋_GBK"/>
              </w:rPr>
              <w:t>10000.00%</w:t>
            </w:r>
          </w:p>
        </w:tc>
        <w:tc>
          <w:tcPr>
            <w:tcW w:w="737" w:type="dxa"/>
            <w:vAlign w:val="center"/>
          </w:tcPr>
          <w:p>
            <w:pPr>
              <w:spacing w:line="570" w:lineRule="exact"/>
              <w:jc w:val="center"/>
              <w:rPr>
                <w:rFonts w:ascii="方正书宋_GBK" w:eastAsia="方正书宋_GBK"/>
              </w:rPr>
            </w:pPr>
            <w:r>
              <w:rPr>
                <w:rFonts w:ascii="方正书宋_GBK" w:eastAsia="方正书宋_GBK"/>
              </w:rPr>
              <w:t>9500.00%</w:t>
            </w:r>
          </w:p>
        </w:tc>
        <w:tc>
          <w:tcPr>
            <w:tcW w:w="737" w:type="dxa"/>
            <w:vAlign w:val="center"/>
          </w:tcPr>
          <w:p>
            <w:pPr>
              <w:spacing w:line="570" w:lineRule="exact"/>
              <w:jc w:val="center"/>
              <w:rPr>
                <w:rFonts w:ascii="方正书宋_GBK" w:eastAsia="方正书宋_GBK"/>
              </w:rPr>
            </w:pPr>
            <w:r>
              <w:rPr>
                <w:rFonts w:ascii="方正书宋_GBK" w:eastAsia="方正书宋_GBK"/>
              </w:rPr>
              <w:t>9000.00%</w:t>
            </w:r>
          </w:p>
        </w:tc>
        <w:tc>
          <w:tcPr>
            <w:tcW w:w="737" w:type="dxa"/>
            <w:vAlign w:val="center"/>
          </w:tcPr>
          <w:p>
            <w:pPr>
              <w:spacing w:line="57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570" w:lineRule="exact"/>
              <w:jc w:val="left"/>
              <w:rPr>
                <w:rFonts w:ascii="方正书宋_GBK" w:eastAsia="方正书宋_GBK"/>
                <w:b/>
              </w:rPr>
            </w:pPr>
            <w:r>
              <w:rPr>
                <w:rFonts w:hint="eastAsia" w:ascii="方正书宋_GBK" w:eastAsia="方正书宋_GBK"/>
                <w:b/>
              </w:rPr>
              <w:t>二、医疗服务</w:t>
            </w:r>
          </w:p>
        </w:tc>
        <w:tc>
          <w:tcPr>
            <w:tcW w:w="1276" w:type="dxa"/>
            <w:vAlign w:val="center"/>
          </w:tcPr>
          <w:p>
            <w:pPr>
              <w:spacing w:line="570" w:lineRule="exact"/>
              <w:jc w:val="left"/>
              <w:rPr>
                <w:rFonts w:ascii="方正书宋_GBK" w:eastAsia="方正书宋_GBK"/>
              </w:rPr>
            </w:pPr>
            <w:r>
              <w:rPr>
                <w:rFonts w:ascii="方正书宋_GBK" w:eastAsia="方正书宋_GBK"/>
              </w:rPr>
              <w:t>1550.00</w:t>
            </w:r>
          </w:p>
        </w:tc>
        <w:tc>
          <w:tcPr>
            <w:tcW w:w="2976" w:type="dxa"/>
            <w:vAlign w:val="center"/>
          </w:tcPr>
          <w:p>
            <w:pPr>
              <w:spacing w:line="570" w:lineRule="exact"/>
              <w:jc w:val="left"/>
              <w:rPr>
                <w:rFonts w:ascii="方正书宋_GBK" w:eastAsia="方正书宋_GBK"/>
              </w:rPr>
            </w:pPr>
            <w:r>
              <w:rPr>
                <w:rFonts w:hint="eastAsia" w:ascii="方正书宋_GBK" w:eastAsia="方正书宋_GBK"/>
              </w:rPr>
              <w:t>通过各类医疗机构，对不同类型的疾病进行治疗。包括医疗救治，机构改革，鼓励社会资本办医等内容。</w:t>
            </w:r>
          </w:p>
        </w:tc>
        <w:tc>
          <w:tcPr>
            <w:tcW w:w="2976" w:type="dxa"/>
            <w:vAlign w:val="center"/>
          </w:tcPr>
          <w:p>
            <w:pPr>
              <w:spacing w:line="570" w:lineRule="exact"/>
              <w:jc w:val="left"/>
              <w:rPr>
                <w:rFonts w:ascii="方正书宋_GBK" w:eastAsia="方正书宋_GBK"/>
              </w:rPr>
            </w:pPr>
            <w:r>
              <w:rPr>
                <w:rFonts w:hint="eastAsia" w:ascii="方正书宋_GBK" w:eastAsia="方正书宋_GBK"/>
              </w:rPr>
              <w:t>提高医疗机构的疾病救治能力，强化公立医院和基层医疗卫生机构综合改革。</w:t>
            </w:r>
          </w:p>
        </w:tc>
        <w:tc>
          <w:tcPr>
            <w:tcW w:w="1417" w:type="dxa"/>
            <w:vAlign w:val="center"/>
          </w:tcPr>
          <w:p>
            <w:pPr>
              <w:spacing w:line="570" w:lineRule="exact"/>
              <w:jc w:val="left"/>
              <w:rPr>
                <w:rFonts w:ascii="方正书宋_GBK" w:eastAsia="方正书宋_GBK"/>
              </w:rPr>
            </w:pPr>
          </w:p>
        </w:tc>
        <w:tc>
          <w:tcPr>
            <w:tcW w:w="737" w:type="dxa"/>
            <w:vAlign w:val="center"/>
          </w:tcPr>
          <w:p>
            <w:pPr>
              <w:spacing w:line="570" w:lineRule="exact"/>
              <w:jc w:val="center"/>
              <w:rPr>
                <w:rFonts w:ascii="方正书宋_GBK" w:eastAsia="方正书宋_GBK"/>
              </w:rPr>
            </w:pPr>
          </w:p>
        </w:tc>
        <w:tc>
          <w:tcPr>
            <w:tcW w:w="737" w:type="dxa"/>
            <w:vAlign w:val="center"/>
          </w:tcPr>
          <w:p>
            <w:pPr>
              <w:spacing w:line="570" w:lineRule="exact"/>
              <w:jc w:val="center"/>
              <w:rPr>
                <w:rFonts w:ascii="方正书宋_GBK" w:eastAsia="方正书宋_GBK"/>
              </w:rPr>
            </w:pPr>
          </w:p>
        </w:tc>
        <w:tc>
          <w:tcPr>
            <w:tcW w:w="737" w:type="dxa"/>
            <w:vAlign w:val="center"/>
          </w:tcPr>
          <w:p>
            <w:pPr>
              <w:spacing w:line="570" w:lineRule="exact"/>
              <w:jc w:val="center"/>
              <w:rPr>
                <w:rFonts w:ascii="方正书宋_GBK" w:eastAsia="方正书宋_GBK"/>
              </w:rPr>
            </w:pPr>
          </w:p>
        </w:tc>
        <w:tc>
          <w:tcPr>
            <w:tcW w:w="737" w:type="dxa"/>
            <w:vAlign w:val="center"/>
          </w:tcPr>
          <w:p>
            <w:pPr>
              <w:spacing w:line="57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vAlign w:val="center"/>
          </w:tcPr>
          <w:p>
            <w:pPr>
              <w:spacing w:line="57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、基层综合医改</w:t>
            </w:r>
          </w:p>
        </w:tc>
        <w:tc>
          <w:tcPr>
            <w:tcW w:w="1276" w:type="dxa"/>
            <w:vMerge w:val="restart"/>
            <w:vAlign w:val="center"/>
          </w:tcPr>
          <w:p>
            <w:pPr>
              <w:spacing w:line="570" w:lineRule="exact"/>
              <w:jc w:val="left"/>
              <w:rPr>
                <w:rFonts w:ascii="方正书宋_GBK" w:eastAsia="方正书宋_GBK"/>
              </w:rPr>
            </w:pPr>
            <w:r>
              <w:rPr>
                <w:rFonts w:ascii="方正书宋_GBK" w:eastAsia="方正书宋_GBK"/>
              </w:rPr>
              <w:t>1550.00</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组织实施基本药物制度，巩固完善基层医改补偿和运行新机制。</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巩固完善基本药物制度，实现基本药物制度乡村卫生机构全覆盖，落实财政补偿政策，稳固基本药物集中采购机制，推进基本药物临床合理使用。</w:t>
            </w:r>
          </w:p>
        </w:tc>
        <w:tc>
          <w:tcPr>
            <w:tcW w:w="1417" w:type="dxa"/>
            <w:vAlign w:val="center"/>
          </w:tcPr>
          <w:p>
            <w:pPr>
              <w:spacing w:line="570" w:lineRule="exact"/>
              <w:jc w:val="left"/>
              <w:rPr>
                <w:rFonts w:ascii="方正书宋_GBK" w:eastAsia="方正书宋_GBK"/>
              </w:rPr>
            </w:pPr>
            <w:r>
              <w:rPr>
                <w:rFonts w:hint="eastAsia" w:ascii="方正书宋_GBK" w:eastAsia="方正书宋_GBK"/>
              </w:rPr>
              <w:t>基层医疗卫生机构药品零差率实施率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95-99%</w:t>
            </w:r>
          </w:p>
        </w:tc>
        <w:tc>
          <w:tcPr>
            <w:tcW w:w="737" w:type="dxa"/>
            <w:vAlign w:val="center"/>
          </w:tcPr>
          <w:p>
            <w:pPr>
              <w:spacing w:line="570" w:lineRule="exact"/>
              <w:jc w:val="center"/>
              <w:rPr>
                <w:rFonts w:ascii="方正书宋_GBK" w:eastAsia="方正书宋_GBK"/>
              </w:rPr>
            </w:pPr>
            <w:r>
              <w:rPr>
                <w:rFonts w:ascii="方正书宋_GBK" w:eastAsia="方正书宋_GBK"/>
              </w:rPr>
              <w:t>90-94%</w:t>
            </w:r>
          </w:p>
        </w:tc>
        <w:tc>
          <w:tcPr>
            <w:tcW w:w="737" w:type="dxa"/>
            <w:vAlign w:val="center"/>
          </w:tcPr>
          <w:p>
            <w:pPr>
              <w:spacing w:line="57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基本药物及时配送到位率</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60-79%</w:t>
            </w:r>
          </w:p>
        </w:tc>
        <w:tc>
          <w:tcPr>
            <w:tcW w:w="737" w:type="dxa"/>
            <w:vAlign w:val="center"/>
          </w:tcPr>
          <w:p>
            <w:pPr>
              <w:spacing w:line="570" w:lineRule="exact"/>
              <w:jc w:val="center"/>
              <w:rPr>
                <w:rFonts w:ascii="方正书宋_GBK" w:eastAsia="方正书宋_GBK"/>
              </w:rPr>
            </w:pPr>
            <w:r>
              <w:rPr>
                <w:rFonts w:ascii="方正书宋_GBK" w:eastAsia="方正书宋_GBK"/>
              </w:rPr>
              <w:t>50-59%</w:t>
            </w:r>
          </w:p>
        </w:tc>
        <w:tc>
          <w:tcPr>
            <w:tcW w:w="737" w:type="dxa"/>
            <w:vAlign w:val="center"/>
          </w:tcPr>
          <w:p>
            <w:pPr>
              <w:spacing w:line="570" w:lineRule="exact"/>
              <w:jc w:val="center"/>
              <w:rPr>
                <w:rFonts w:ascii="方正书宋_GBK" w:eastAsia="方正书宋_GBK"/>
              </w:rPr>
            </w:pPr>
            <w:r>
              <w:rPr>
                <w:rFonts w:ascii="方正书宋_GBK" w:eastAsia="方正书宋_GBK"/>
              </w:rPr>
              <w:t>50%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570" w:lineRule="exact"/>
              <w:jc w:val="left"/>
              <w:rPr>
                <w:rFonts w:ascii="方正书宋_GBK" w:eastAsia="方正书宋_GBK"/>
                <w:b/>
              </w:rPr>
            </w:pPr>
            <w:r>
              <w:rPr>
                <w:rFonts w:hint="eastAsia" w:ascii="方正书宋_GBK" w:eastAsia="方正书宋_GBK"/>
                <w:b/>
              </w:rPr>
              <w:t>三、中医药管理</w:t>
            </w:r>
          </w:p>
        </w:tc>
        <w:tc>
          <w:tcPr>
            <w:tcW w:w="1276" w:type="dxa"/>
            <w:vAlign w:val="center"/>
          </w:tcPr>
          <w:p>
            <w:pPr>
              <w:spacing w:line="570" w:lineRule="exact"/>
              <w:jc w:val="left"/>
              <w:rPr>
                <w:rFonts w:ascii="方正书宋_GBK" w:eastAsia="方正书宋_GBK"/>
              </w:rPr>
            </w:pPr>
          </w:p>
        </w:tc>
        <w:tc>
          <w:tcPr>
            <w:tcW w:w="2976" w:type="dxa"/>
            <w:vAlign w:val="center"/>
          </w:tcPr>
          <w:p>
            <w:pPr>
              <w:spacing w:line="570" w:lineRule="exact"/>
              <w:jc w:val="left"/>
              <w:rPr>
                <w:rFonts w:ascii="方正书宋_GBK" w:eastAsia="方正书宋_GBK"/>
              </w:rPr>
            </w:pPr>
            <w:r>
              <w:rPr>
                <w:rFonts w:hint="eastAsia" w:ascii="方正书宋_GBK" w:eastAsia="方正书宋_GBK"/>
              </w:rPr>
              <w:t>开展中医药专科建设，培训中医药人才，建立中医药研究室，普及中医药知识，推广中医药文化。</w:t>
            </w:r>
          </w:p>
        </w:tc>
        <w:tc>
          <w:tcPr>
            <w:tcW w:w="2976" w:type="dxa"/>
            <w:vAlign w:val="center"/>
          </w:tcPr>
          <w:p>
            <w:pPr>
              <w:spacing w:line="570" w:lineRule="exact"/>
              <w:jc w:val="left"/>
              <w:rPr>
                <w:rFonts w:ascii="方正书宋_GBK" w:eastAsia="方正书宋_GBK"/>
              </w:rPr>
            </w:pPr>
            <w:r>
              <w:rPr>
                <w:rFonts w:hint="eastAsia" w:ascii="方正书宋_GBK" w:eastAsia="方正书宋_GBK"/>
              </w:rPr>
              <w:t>加强中医药能力建设，提高中医药人员服务水平，有效发挥中医药在医疗保健领域的特色优势。</w:t>
            </w:r>
          </w:p>
        </w:tc>
        <w:tc>
          <w:tcPr>
            <w:tcW w:w="1417" w:type="dxa"/>
            <w:vAlign w:val="center"/>
          </w:tcPr>
          <w:p>
            <w:pPr>
              <w:spacing w:line="570" w:lineRule="exact"/>
              <w:jc w:val="left"/>
              <w:rPr>
                <w:rFonts w:ascii="方正书宋_GBK" w:eastAsia="方正书宋_GBK"/>
              </w:rPr>
            </w:pPr>
          </w:p>
        </w:tc>
        <w:tc>
          <w:tcPr>
            <w:tcW w:w="737" w:type="dxa"/>
            <w:vAlign w:val="center"/>
          </w:tcPr>
          <w:p>
            <w:pPr>
              <w:spacing w:line="570" w:lineRule="exact"/>
              <w:jc w:val="center"/>
              <w:rPr>
                <w:rFonts w:ascii="方正书宋_GBK" w:eastAsia="方正书宋_GBK"/>
              </w:rPr>
            </w:pPr>
          </w:p>
        </w:tc>
        <w:tc>
          <w:tcPr>
            <w:tcW w:w="737" w:type="dxa"/>
            <w:vAlign w:val="center"/>
          </w:tcPr>
          <w:p>
            <w:pPr>
              <w:spacing w:line="570" w:lineRule="exact"/>
              <w:jc w:val="center"/>
              <w:rPr>
                <w:rFonts w:ascii="方正书宋_GBK" w:eastAsia="方正书宋_GBK"/>
              </w:rPr>
            </w:pPr>
          </w:p>
        </w:tc>
        <w:tc>
          <w:tcPr>
            <w:tcW w:w="737" w:type="dxa"/>
            <w:vAlign w:val="center"/>
          </w:tcPr>
          <w:p>
            <w:pPr>
              <w:spacing w:line="570" w:lineRule="exact"/>
              <w:jc w:val="center"/>
              <w:rPr>
                <w:rFonts w:ascii="方正书宋_GBK" w:eastAsia="方正书宋_GBK"/>
              </w:rPr>
            </w:pPr>
          </w:p>
        </w:tc>
        <w:tc>
          <w:tcPr>
            <w:tcW w:w="737" w:type="dxa"/>
            <w:vAlign w:val="center"/>
          </w:tcPr>
          <w:p>
            <w:pPr>
              <w:spacing w:line="57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vAlign w:val="center"/>
          </w:tcPr>
          <w:p>
            <w:pPr>
              <w:spacing w:line="57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、中医药特色专科和实验室建设</w:t>
            </w:r>
          </w:p>
        </w:tc>
        <w:tc>
          <w:tcPr>
            <w:tcW w:w="1276" w:type="dxa"/>
            <w:vMerge w:val="restart"/>
            <w:vAlign w:val="center"/>
          </w:tcPr>
          <w:p>
            <w:pPr>
              <w:spacing w:line="570" w:lineRule="exact"/>
              <w:jc w:val="left"/>
              <w:rPr>
                <w:rFonts w:ascii="方正书宋_GBK" w:eastAsia="方正书宋_GBK"/>
              </w:rPr>
            </w:pP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培育和建设具有明显中医特色的重点专科、重点实验室和国医堂，提高中医药救治能力，提升公民中医养生保健素养。</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提高中医药服务水平和救治能力，改善群众接受中医药服务的软硬件环境。</w:t>
            </w:r>
          </w:p>
        </w:tc>
        <w:tc>
          <w:tcPr>
            <w:tcW w:w="1417" w:type="dxa"/>
            <w:vAlign w:val="center"/>
          </w:tcPr>
          <w:p>
            <w:pPr>
              <w:spacing w:line="570" w:lineRule="exact"/>
              <w:jc w:val="left"/>
              <w:rPr>
                <w:rFonts w:ascii="方正书宋_GBK" w:eastAsia="方正书宋_GBK"/>
              </w:rPr>
            </w:pPr>
            <w:r>
              <w:rPr>
                <w:rFonts w:hint="eastAsia" w:ascii="方正书宋_GBK" w:eastAsia="方正书宋_GBK"/>
              </w:rPr>
              <w:t>中医医疗机构重点专科建设数量</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60.00%</w:t>
            </w:r>
          </w:p>
        </w:tc>
        <w:tc>
          <w:tcPr>
            <w:tcW w:w="737" w:type="dxa"/>
            <w:vAlign w:val="center"/>
          </w:tcPr>
          <w:p>
            <w:pPr>
              <w:spacing w:line="57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中医药重点研究室建设数量</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60.00%</w:t>
            </w:r>
          </w:p>
        </w:tc>
        <w:tc>
          <w:tcPr>
            <w:tcW w:w="737" w:type="dxa"/>
            <w:vAlign w:val="center"/>
          </w:tcPr>
          <w:p>
            <w:pPr>
              <w:spacing w:line="57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建立名老中医传承工作室数量</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60.00%</w:t>
            </w:r>
          </w:p>
        </w:tc>
        <w:tc>
          <w:tcPr>
            <w:tcW w:w="737" w:type="dxa"/>
            <w:vAlign w:val="center"/>
          </w:tcPr>
          <w:p>
            <w:pPr>
              <w:spacing w:line="57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vAlign w:val="center"/>
          </w:tcPr>
          <w:p>
            <w:pPr>
              <w:spacing w:line="57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、中医药人才队伍建设</w:t>
            </w:r>
          </w:p>
        </w:tc>
        <w:tc>
          <w:tcPr>
            <w:tcW w:w="1276" w:type="dxa"/>
            <w:vMerge w:val="restart"/>
            <w:vAlign w:val="center"/>
          </w:tcPr>
          <w:p>
            <w:pPr>
              <w:spacing w:line="570" w:lineRule="exact"/>
              <w:jc w:val="left"/>
              <w:rPr>
                <w:rFonts w:ascii="方正书宋_GBK" w:eastAsia="方正书宋_GBK"/>
              </w:rPr>
            </w:pP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为全市各级医疗机构系统培养一批具有扎实中医理论功底和较强的辨证施治能力，临床疗效显著的中医临床技术人员；面向基层医疗机构推广中医药适宜技术。</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提高各级各类中医药人才的施治能力。</w:t>
            </w:r>
          </w:p>
        </w:tc>
        <w:tc>
          <w:tcPr>
            <w:tcW w:w="1417" w:type="dxa"/>
            <w:vAlign w:val="center"/>
          </w:tcPr>
          <w:p>
            <w:pPr>
              <w:spacing w:line="570" w:lineRule="exact"/>
              <w:jc w:val="left"/>
              <w:rPr>
                <w:rFonts w:ascii="方正书宋_GBK" w:eastAsia="方正书宋_GBK"/>
              </w:rPr>
            </w:pPr>
            <w:r>
              <w:rPr>
                <w:rFonts w:hint="eastAsia" w:ascii="方正书宋_GBK" w:eastAsia="方正书宋_GBK"/>
              </w:rPr>
              <w:t>培养名老中医药专家学术经验继承人数量</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60.00%</w:t>
            </w:r>
          </w:p>
        </w:tc>
        <w:tc>
          <w:tcPr>
            <w:tcW w:w="737" w:type="dxa"/>
            <w:vAlign w:val="center"/>
          </w:tcPr>
          <w:p>
            <w:pPr>
              <w:spacing w:line="57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培养优秀中医临床人才数量</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60.00%</w:t>
            </w:r>
          </w:p>
        </w:tc>
        <w:tc>
          <w:tcPr>
            <w:tcW w:w="737" w:type="dxa"/>
            <w:vAlign w:val="center"/>
          </w:tcPr>
          <w:p>
            <w:pPr>
              <w:spacing w:line="57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中医药科研立项数量</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60.00%</w:t>
            </w:r>
          </w:p>
        </w:tc>
        <w:tc>
          <w:tcPr>
            <w:tcW w:w="737" w:type="dxa"/>
            <w:vAlign w:val="center"/>
          </w:tcPr>
          <w:p>
            <w:pPr>
              <w:spacing w:line="57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培养优秀中医临床人才数量</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60.00%</w:t>
            </w:r>
          </w:p>
        </w:tc>
        <w:tc>
          <w:tcPr>
            <w:tcW w:w="737" w:type="dxa"/>
            <w:vAlign w:val="center"/>
          </w:tcPr>
          <w:p>
            <w:pPr>
              <w:spacing w:line="57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培养名老中医药专家学术经验继承人数量</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60.00%</w:t>
            </w:r>
          </w:p>
        </w:tc>
        <w:tc>
          <w:tcPr>
            <w:tcW w:w="737" w:type="dxa"/>
            <w:vAlign w:val="center"/>
          </w:tcPr>
          <w:p>
            <w:pPr>
              <w:spacing w:line="57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vAlign w:val="center"/>
          </w:tcPr>
          <w:p>
            <w:pPr>
              <w:spacing w:line="57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、中医药文化建设</w:t>
            </w:r>
          </w:p>
        </w:tc>
        <w:tc>
          <w:tcPr>
            <w:tcW w:w="1276" w:type="dxa"/>
            <w:vMerge w:val="restart"/>
            <w:vAlign w:val="center"/>
          </w:tcPr>
          <w:p>
            <w:pPr>
              <w:spacing w:line="570" w:lineRule="exact"/>
              <w:jc w:val="left"/>
              <w:rPr>
                <w:rFonts w:ascii="方正书宋_GBK" w:eastAsia="方正书宋_GBK"/>
              </w:rPr>
            </w:pP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构建中医药核心价值体系，开展中医药文化传播与知识普及，遴选创建中医药文化建设示范医院，开展百院千场大讲堂活动。</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提升公民中医养生保健素养。</w:t>
            </w:r>
          </w:p>
        </w:tc>
        <w:tc>
          <w:tcPr>
            <w:tcW w:w="1417" w:type="dxa"/>
            <w:vAlign w:val="center"/>
          </w:tcPr>
          <w:p>
            <w:pPr>
              <w:spacing w:line="570" w:lineRule="exact"/>
              <w:jc w:val="left"/>
              <w:rPr>
                <w:rFonts w:ascii="方正书宋_GBK" w:eastAsia="方正书宋_GBK"/>
              </w:rPr>
            </w:pPr>
            <w:r>
              <w:rPr>
                <w:rFonts w:hint="eastAsia" w:ascii="方正书宋_GBK" w:eastAsia="方正书宋_GBK"/>
              </w:rPr>
              <w:t>全市中医药文化建设示范医院创建个数</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60.00%</w:t>
            </w:r>
          </w:p>
        </w:tc>
        <w:tc>
          <w:tcPr>
            <w:tcW w:w="737" w:type="dxa"/>
            <w:vAlign w:val="center"/>
          </w:tcPr>
          <w:p>
            <w:pPr>
              <w:spacing w:line="57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全市开展中医药百院千场大讲堂活动场次</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60.00%</w:t>
            </w:r>
          </w:p>
        </w:tc>
        <w:tc>
          <w:tcPr>
            <w:tcW w:w="737" w:type="dxa"/>
            <w:vAlign w:val="center"/>
          </w:tcPr>
          <w:p>
            <w:pPr>
              <w:spacing w:line="57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570" w:lineRule="exact"/>
              <w:jc w:val="left"/>
              <w:rPr>
                <w:rFonts w:ascii="方正书宋_GBK" w:eastAsia="方正书宋_GBK"/>
                <w:b/>
              </w:rPr>
            </w:pPr>
            <w:r>
              <w:rPr>
                <w:rFonts w:hint="eastAsia" w:ascii="方正书宋_GBK" w:eastAsia="方正书宋_GBK"/>
                <w:b/>
              </w:rPr>
              <w:t>四、卫计政务管理</w:t>
            </w:r>
          </w:p>
        </w:tc>
        <w:tc>
          <w:tcPr>
            <w:tcW w:w="1276" w:type="dxa"/>
            <w:vAlign w:val="center"/>
          </w:tcPr>
          <w:p>
            <w:pPr>
              <w:spacing w:line="570" w:lineRule="exact"/>
              <w:jc w:val="left"/>
              <w:rPr>
                <w:rFonts w:ascii="方正书宋_GBK" w:eastAsia="方正书宋_GBK"/>
              </w:rPr>
            </w:pPr>
            <w:r>
              <w:rPr>
                <w:rFonts w:ascii="方正书宋_GBK" w:eastAsia="方正书宋_GBK"/>
              </w:rPr>
              <w:t>109.00</w:t>
            </w:r>
          </w:p>
        </w:tc>
        <w:tc>
          <w:tcPr>
            <w:tcW w:w="2976" w:type="dxa"/>
            <w:vAlign w:val="center"/>
          </w:tcPr>
          <w:p>
            <w:pPr>
              <w:spacing w:line="570" w:lineRule="exact"/>
              <w:jc w:val="left"/>
              <w:rPr>
                <w:rFonts w:ascii="方正书宋_GBK" w:eastAsia="方正书宋_GBK"/>
              </w:rPr>
            </w:pPr>
            <w:r>
              <w:rPr>
                <w:rFonts w:hint="eastAsia" w:ascii="方正书宋_GBK" w:eastAsia="方正书宋_GBK"/>
              </w:rPr>
              <w:t>拟定卫生计生改革与发展目标、规划和政策措施，起草相关性地方法规和规章草案，制定有关标准和技术规范，监督指导卫生计生相关法律法规落实情况，承担政务公开和业务宣传工作，加强卫生计生能力建设</w:t>
            </w:r>
            <w:r>
              <w:rPr>
                <w:rFonts w:ascii="方正书宋_GBK" w:eastAsia="方正书宋_GBK"/>
              </w:rPr>
              <w:t>,</w:t>
            </w:r>
            <w:r>
              <w:rPr>
                <w:rFonts w:hint="eastAsia" w:ascii="方正书宋_GBK" w:eastAsia="方正书宋_GBK"/>
              </w:rPr>
              <w:t>落实计划生育一票否决制。建立卫生计生人才培训基地，开展医学技术跟踪和适宜技术推广等工作。</w:t>
            </w:r>
          </w:p>
        </w:tc>
        <w:tc>
          <w:tcPr>
            <w:tcW w:w="2976" w:type="dxa"/>
            <w:vAlign w:val="center"/>
          </w:tcPr>
          <w:p>
            <w:pPr>
              <w:spacing w:line="570" w:lineRule="exact"/>
              <w:jc w:val="left"/>
              <w:rPr>
                <w:rFonts w:ascii="方正书宋_GBK" w:eastAsia="方正书宋_GBK"/>
              </w:rPr>
            </w:pPr>
            <w:r>
              <w:rPr>
                <w:rFonts w:hint="eastAsia" w:ascii="方正书宋_GBK" w:eastAsia="方正书宋_GBK"/>
              </w:rPr>
              <w:t>保障卫生计生事业顺利发展。</w:t>
            </w:r>
          </w:p>
        </w:tc>
        <w:tc>
          <w:tcPr>
            <w:tcW w:w="1417" w:type="dxa"/>
            <w:vAlign w:val="center"/>
          </w:tcPr>
          <w:p>
            <w:pPr>
              <w:spacing w:line="570" w:lineRule="exact"/>
              <w:jc w:val="left"/>
              <w:rPr>
                <w:rFonts w:ascii="方正书宋_GBK" w:eastAsia="方正书宋_GBK"/>
              </w:rPr>
            </w:pPr>
          </w:p>
        </w:tc>
        <w:tc>
          <w:tcPr>
            <w:tcW w:w="737" w:type="dxa"/>
            <w:vAlign w:val="center"/>
          </w:tcPr>
          <w:p>
            <w:pPr>
              <w:spacing w:line="570" w:lineRule="exact"/>
              <w:jc w:val="center"/>
              <w:rPr>
                <w:rFonts w:ascii="方正书宋_GBK" w:eastAsia="方正书宋_GBK"/>
              </w:rPr>
            </w:pPr>
          </w:p>
        </w:tc>
        <w:tc>
          <w:tcPr>
            <w:tcW w:w="737" w:type="dxa"/>
            <w:vAlign w:val="center"/>
          </w:tcPr>
          <w:p>
            <w:pPr>
              <w:spacing w:line="570" w:lineRule="exact"/>
              <w:jc w:val="center"/>
              <w:rPr>
                <w:rFonts w:ascii="方正书宋_GBK" w:eastAsia="方正书宋_GBK"/>
              </w:rPr>
            </w:pPr>
          </w:p>
        </w:tc>
        <w:tc>
          <w:tcPr>
            <w:tcW w:w="737" w:type="dxa"/>
            <w:vAlign w:val="center"/>
          </w:tcPr>
          <w:p>
            <w:pPr>
              <w:spacing w:line="570" w:lineRule="exact"/>
              <w:jc w:val="center"/>
              <w:rPr>
                <w:rFonts w:ascii="方正书宋_GBK" w:eastAsia="方正书宋_GBK"/>
              </w:rPr>
            </w:pPr>
          </w:p>
        </w:tc>
        <w:tc>
          <w:tcPr>
            <w:tcW w:w="737" w:type="dxa"/>
            <w:vAlign w:val="center"/>
          </w:tcPr>
          <w:p>
            <w:pPr>
              <w:spacing w:line="57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vAlign w:val="center"/>
          </w:tcPr>
          <w:p>
            <w:pPr>
              <w:spacing w:line="57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vMerge w:val="restart"/>
            <w:vAlign w:val="center"/>
          </w:tcPr>
          <w:p>
            <w:pPr>
              <w:spacing w:line="570" w:lineRule="exact"/>
              <w:jc w:val="left"/>
              <w:rPr>
                <w:rFonts w:ascii="方正书宋_GBK" w:eastAsia="方正书宋_GBK"/>
              </w:rPr>
            </w:pPr>
            <w:r>
              <w:rPr>
                <w:rFonts w:ascii="方正书宋_GBK" w:eastAsia="方正书宋_GBK"/>
              </w:rPr>
              <w:t>9.00</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开展卫生计生规划、统计、法制、政策研究、宣传教育、行业改革，拟定行业标准，监督政策落实等各项综合业务工作。</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保障卫生计生法律法规的落实，提升卫生计生工作规范化和法制化水平，公立医院改革取得成效。</w:t>
            </w:r>
          </w:p>
        </w:tc>
        <w:tc>
          <w:tcPr>
            <w:tcW w:w="1417" w:type="dxa"/>
            <w:vAlign w:val="center"/>
          </w:tcPr>
          <w:p>
            <w:pPr>
              <w:spacing w:line="570" w:lineRule="exact"/>
              <w:jc w:val="left"/>
              <w:rPr>
                <w:rFonts w:ascii="方正书宋_GBK" w:eastAsia="方正书宋_GBK"/>
              </w:rPr>
            </w:pPr>
            <w:r>
              <w:rPr>
                <w:rFonts w:hint="eastAsia" w:ascii="方正书宋_GBK" w:eastAsia="方正书宋_GBK"/>
              </w:rPr>
              <w:t>卫生计生重大违法案件查处率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95.00%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行政许可及时办结率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95.00%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放射诊疗许可率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95.00%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行政许可及时办结率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95.00%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卫生计生重大违法案件查处率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95.00%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放射诊疗许可率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95.00%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vAlign w:val="center"/>
          </w:tcPr>
          <w:p>
            <w:pPr>
              <w:spacing w:line="57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vMerge w:val="restart"/>
            <w:vAlign w:val="center"/>
          </w:tcPr>
          <w:p>
            <w:pPr>
              <w:spacing w:line="570" w:lineRule="exact"/>
              <w:jc w:val="left"/>
              <w:rPr>
                <w:rFonts w:ascii="方正书宋_GBK" w:eastAsia="方正书宋_GBK"/>
              </w:rPr>
            </w:pPr>
            <w:r>
              <w:rPr>
                <w:rFonts w:ascii="方正书宋_GBK" w:eastAsia="方正书宋_GBK"/>
              </w:rPr>
              <w:t>100.00</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建设一批高素质卫生计生人才队伍，培育一批卫生计生重点专科，开展卫生计生机构信息化、基础设施、装备配置等各项工作</w:t>
            </w:r>
            <w:r>
              <w:rPr>
                <w:rFonts w:ascii="方正书宋_GBK" w:eastAsia="方正书宋_GBK"/>
              </w:rPr>
              <w:t>,</w:t>
            </w:r>
            <w:r>
              <w:rPr>
                <w:rFonts w:hint="eastAsia" w:ascii="方正书宋_GBK" w:eastAsia="方正书宋_GBK"/>
              </w:rPr>
              <w:t>组织医学鉴定。</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提高全市医疗卫生计生人才队伍服务水平和医疗卫生计生机构科研能力。提高全市卫生计生信息化服务与管理能力。</w:t>
            </w:r>
          </w:p>
        </w:tc>
        <w:tc>
          <w:tcPr>
            <w:tcW w:w="1417" w:type="dxa"/>
            <w:vAlign w:val="center"/>
          </w:tcPr>
          <w:p>
            <w:pPr>
              <w:spacing w:line="570" w:lineRule="exact"/>
              <w:jc w:val="left"/>
              <w:rPr>
                <w:rFonts w:ascii="方正书宋_GBK" w:eastAsia="方正书宋_GBK"/>
              </w:rPr>
            </w:pPr>
            <w:r>
              <w:rPr>
                <w:rFonts w:hint="eastAsia" w:ascii="方正书宋_GBK" w:eastAsia="方正书宋_GBK"/>
              </w:rPr>
              <w:t>推广基层医疗适宜技术项数</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完成率</w:t>
            </w:r>
            <w:r>
              <w:rPr>
                <w:rFonts w:ascii="方正书宋_GBK" w:eastAsia="方正书宋_GBK"/>
              </w:rPr>
              <w:t>100%</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完成率</w:t>
            </w:r>
            <w:r>
              <w:rPr>
                <w:rFonts w:ascii="方正书宋_GBK" w:eastAsia="方正书宋_GBK"/>
              </w:rPr>
              <w:t>80%</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完成率</w:t>
            </w:r>
            <w:r>
              <w:rPr>
                <w:rFonts w:ascii="方正书宋_GBK" w:eastAsia="方正书宋_GBK"/>
              </w:rPr>
              <w:t>60%</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完成率</w:t>
            </w: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市级医学重点学科建设数</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中期评审</w:t>
            </w:r>
            <w:r>
              <w:rPr>
                <w:rFonts w:ascii="方正书宋_GBK" w:eastAsia="方正书宋_GBK"/>
              </w:rPr>
              <w:t>41</w:t>
            </w:r>
            <w:r>
              <w:rPr>
                <w:rFonts w:hint="eastAsia" w:ascii="方正书宋_GBK" w:eastAsia="方正书宋_GBK"/>
              </w:rPr>
              <w:t>个</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中期评审</w:t>
            </w:r>
            <w:r>
              <w:rPr>
                <w:rFonts w:ascii="方正书宋_GBK" w:eastAsia="方正书宋_GBK"/>
              </w:rPr>
              <w:t>30</w:t>
            </w:r>
            <w:r>
              <w:rPr>
                <w:rFonts w:hint="eastAsia" w:ascii="方正书宋_GBK" w:eastAsia="方正书宋_GBK"/>
              </w:rPr>
              <w:t>个</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中期评审</w:t>
            </w:r>
            <w:r>
              <w:rPr>
                <w:rFonts w:ascii="方正书宋_GBK" w:eastAsia="方正书宋_GBK"/>
              </w:rPr>
              <w:t>20</w:t>
            </w:r>
            <w:r>
              <w:rPr>
                <w:rFonts w:hint="eastAsia" w:ascii="方正书宋_GBK" w:eastAsia="方正书宋_GBK"/>
              </w:rPr>
              <w:t>个</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中期评审</w:t>
            </w:r>
            <w:r>
              <w:rPr>
                <w:rFonts w:ascii="方正书宋_GBK" w:eastAsia="方正书宋_GBK"/>
              </w:rPr>
              <w:t>20</w:t>
            </w:r>
            <w:r>
              <w:rPr>
                <w:rFonts w:hint="eastAsia" w:ascii="方正书宋_GBK" w:eastAsia="方正书宋_GBK"/>
              </w:rPr>
              <w:t>个以下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为农村医疗机构免费培养定向医学生人数</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今年毕业</w:t>
            </w:r>
            <w:r>
              <w:rPr>
                <w:rFonts w:ascii="方正书宋_GBK" w:eastAsia="方正书宋_GBK"/>
              </w:rPr>
              <w:t>25</w:t>
            </w:r>
            <w:r>
              <w:rPr>
                <w:rFonts w:hint="eastAsia" w:ascii="方正书宋_GBK" w:eastAsia="方正书宋_GBK"/>
              </w:rPr>
              <w:t>人</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今年毕业</w:t>
            </w:r>
            <w:r>
              <w:rPr>
                <w:rFonts w:ascii="方正书宋_GBK" w:eastAsia="方正书宋_GBK"/>
              </w:rPr>
              <w:t>20</w:t>
            </w:r>
            <w:r>
              <w:rPr>
                <w:rFonts w:hint="eastAsia" w:ascii="方正书宋_GBK" w:eastAsia="方正书宋_GBK"/>
              </w:rPr>
              <w:t>人</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今年毕业</w:t>
            </w:r>
            <w:r>
              <w:rPr>
                <w:rFonts w:ascii="方正书宋_GBK" w:eastAsia="方正书宋_GBK"/>
              </w:rPr>
              <w:t>15</w:t>
            </w:r>
            <w:r>
              <w:rPr>
                <w:rFonts w:hint="eastAsia" w:ascii="方正书宋_GBK" w:eastAsia="方正书宋_GBK"/>
              </w:rPr>
              <w:t>人</w:t>
            </w:r>
          </w:p>
        </w:tc>
        <w:tc>
          <w:tcPr>
            <w:tcW w:w="737" w:type="dxa"/>
            <w:vAlign w:val="center"/>
          </w:tcPr>
          <w:p>
            <w:pPr>
              <w:spacing w:line="570" w:lineRule="exact"/>
              <w:jc w:val="center"/>
              <w:rPr>
                <w:rFonts w:ascii="方正书宋_GBK" w:eastAsia="方正书宋_GBK"/>
              </w:rPr>
            </w:pPr>
            <w:r>
              <w:rPr>
                <w:rFonts w:hint="eastAsia" w:ascii="方正书宋_GBK" w:eastAsia="方正书宋_GBK"/>
              </w:rPr>
              <w:t>今年毕业</w:t>
            </w:r>
            <w:r>
              <w:rPr>
                <w:rFonts w:ascii="方正书宋_GBK" w:eastAsia="方正书宋_GBK"/>
              </w:rPr>
              <w:t>15</w:t>
            </w:r>
            <w:r>
              <w:rPr>
                <w:rFonts w:hint="eastAsia" w:ascii="方正书宋_GBK" w:eastAsia="方正书宋_GBK"/>
              </w:rPr>
              <w:t>人以下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570" w:lineRule="exact"/>
              <w:jc w:val="left"/>
              <w:rPr>
                <w:rFonts w:ascii="方正书宋_GBK" w:eastAsia="方正书宋_GBK"/>
                <w:b/>
              </w:rPr>
            </w:pPr>
            <w:r>
              <w:rPr>
                <w:rFonts w:hint="eastAsia" w:ascii="方正书宋_GBK" w:eastAsia="方正书宋_GBK"/>
                <w:b/>
              </w:rPr>
              <w:t>五、计划生育</w:t>
            </w:r>
          </w:p>
        </w:tc>
        <w:tc>
          <w:tcPr>
            <w:tcW w:w="1276" w:type="dxa"/>
            <w:vAlign w:val="center"/>
          </w:tcPr>
          <w:p>
            <w:pPr>
              <w:spacing w:line="570" w:lineRule="exact"/>
              <w:jc w:val="left"/>
              <w:rPr>
                <w:rFonts w:ascii="方正书宋_GBK" w:eastAsia="方正书宋_GBK"/>
              </w:rPr>
            </w:pPr>
            <w:r>
              <w:rPr>
                <w:rFonts w:ascii="方正书宋_GBK" w:eastAsia="方正书宋_GBK"/>
              </w:rPr>
              <w:t>364.00</w:t>
            </w:r>
          </w:p>
        </w:tc>
        <w:tc>
          <w:tcPr>
            <w:tcW w:w="2976" w:type="dxa"/>
            <w:vAlign w:val="center"/>
          </w:tcPr>
          <w:p>
            <w:pPr>
              <w:spacing w:line="570" w:lineRule="exact"/>
              <w:jc w:val="left"/>
              <w:rPr>
                <w:rFonts w:ascii="方正书宋_GBK" w:eastAsia="方正书宋_GBK"/>
              </w:rPr>
            </w:pPr>
            <w:r>
              <w:rPr>
                <w:rFonts w:hint="eastAsia" w:ascii="方正书宋_GBK" w:eastAsia="方正书宋_GBK"/>
              </w:rPr>
              <w:t>提供各类计划生育技术服务，建立利益导向机制，开展出生人口性别比治理以及流动人口计划生育管理等各项工作。</w:t>
            </w:r>
          </w:p>
        </w:tc>
        <w:tc>
          <w:tcPr>
            <w:tcW w:w="2976" w:type="dxa"/>
            <w:vAlign w:val="center"/>
          </w:tcPr>
          <w:p>
            <w:pPr>
              <w:spacing w:line="570" w:lineRule="exact"/>
              <w:jc w:val="left"/>
              <w:rPr>
                <w:rFonts w:ascii="方正书宋_GBK" w:eastAsia="方正书宋_GBK"/>
              </w:rPr>
            </w:pPr>
            <w:r>
              <w:rPr>
                <w:rFonts w:hint="eastAsia" w:ascii="方正书宋_GBK" w:eastAsia="方正书宋_GBK"/>
              </w:rPr>
              <w:t>稳定适度的低生育水平，有效保障计划生育家庭生活水平，提高妇女生殖健康水平，降低出生缺陷的发生，有效遏制出生人口性别比偏高问题。</w:t>
            </w:r>
          </w:p>
        </w:tc>
        <w:tc>
          <w:tcPr>
            <w:tcW w:w="1417" w:type="dxa"/>
            <w:vAlign w:val="center"/>
          </w:tcPr>
          <w:p>
            <w:pPr>
              <w:spacing w:line="570" w:lineRule="exact"/>
              <w:jc w:val="left"/>
              <w:rPr>
                <w:rFonts w:ascii="方正书宋_GBK" w:eastAsia="方正书宋_GBK"/>
              </w:rPr>
            </w:pPr>
          </w:p>
        </w:tc>
        <w:tc>
          <w:tcPr>
            <w:tcW w:w="737" w:type="dxa"/>
            <w:vAlign w:val="center"/>
          </w:tcPr>
          <w:p>
            <w:pPr>
              <w:spacing w:line="570" w:lineRule="exact"/>
              <w:jc w:val="center"/>
              <w:rPr>
                <w:rFonts w:ascii="方正书宋_GBK" w:eastAsia="方正书宋_GBK"/>
              </w:rPr>
            </w:pPr>
          </w:p>
        </w:tc>
        <w:tc>
          <w:tcPr>
            <w:tcW w:w="737" w:type="dxa"/>
            <w:vAlign w:val="center"/>
          </w:tcPr>
          <w:p>
            <w:pPr>
              <w:spacing w:line="570" w:lineRule="exact"/>
              <w:jc w:val="center"/>
              <w:rPr>
                <w:rFonts w:ascii="方正书宋_GBK" w:eastAsia="方正书宋_GBK"/>
              </w:rPr>
            </w:pPr>
          </w:p>
        </w:tc>
        <w:tc>
          <w:tcPr>
            <w:tcW w:w="737" w:type="dxa"/>
            <w:vAlign w:val="center"/>
          </w:tcPr>
          <w:p>
            <w:pPr>
              <w:spacing w:line="570" w:lineRule="exact"/>
              <w:jc w:val="center"/>
              <w:rPr>
                <w:rFonts w:ascii="方正书宋_GBK" w:eastAsia="方正书宋_GBK"/>
              </w:rPr>
            </w:pPr>
          </w:p>
        </w:tc>
        <w:tc>
          <w:tcPr>
            <w:tcW w:w="737" w:type="dxa"/>
            <w:vAlign w:val="center"/>
          </w:tcPr>
          <w:p>
            <w:pPr>
              <w:spacing w:line="57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Align w:val="center"/>
          </w:tcPr>
          <w:p>
            <w:pPr>
              <w:spacing w:line="57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、计生惠民政策执行工作</w:t>
            </w:r>
          </w:p>
        </w:tc>
        <w:tc>
          <w:tcPr>
            <w:tcW w:w="1276" w:type="dxa"/>
            <w:vAlign w:val="center"/>
          </w:tcPr>
          <w:p>
            <w:pPr>
              <w:spacing w:line="570" w:lineRule="exact"/>
              <w:jc w:val="left"/>
              <w:rPr>
                <w:rFonts w:ascii="方正书宋_GBK" w:eastAsia="方正书宋_GBK"/>
              </w:rPr>
            </w:pPr>
            <w:r>
              <w:rPr>
                <w:rFonts w:ascii="方正书宋_GBK" w:eastAsia="方正书宋_GBK"/>
              </w:rPr>
              <w:t>340.00</w:t>
            </w:r>
          </w:p>
        </w:tc>
        <w:tc>
          <w:tcPr>
            <w:tcW w:w="2976" w:type="dxa"/>
            <w:vAlign w:val="center"/>
          </w:tcPr>
          <w:p>
            <w:pPr>
              <w:spacing w:line="570" w:lineRule="exact"/>
              <w:jc w:val="left"/>
              <w:rPr>
                <w:rFonts w:ascii="方正书宋_GBK" w:eastAsia="方正书宋_GBK"/>
              </w:rPr>
            </w:pPr>
            <w:r>
              <w:rPr>
                <w:rFonts w:hint="eastAsia" w:ascii="方正书宋_GBK" w:eastAsia="方正书宋_GBK"/>
              </w:rPr>
              <w:t>采取奖励、扶助、社会保障等机制，引导家庭和个人采取计划生育措施，提高计划生育家庭发展能力。</w:t>
            </w:r>
          </w:p>
        </w:tc>
        <w:tc>
          <w:tcPr>
            <w:tcW w:w="2976" w:type="dxa"/>
            <w:vAlign w:val="center"/>
          </w:tcPr>
          <w:p>
            <w:pPr>
              <w:spacing w:line="570" w:lineRule="exact"/>
              <w:jc w:val="left"/>
              <w:rPr>
                <w:rFonts w:ascii="方正书宋_GBK" w:eastAsia="方正书宋_GBK"/>
              </w:rPr>
            </w:pPr>
            <w:r>
              <w:rPr>
                <w:rFonts w:hint="eastAsia" w:ascii="方正书宋_GBK" w:eastAsia="方正书宋_GBK"/>
              </w:rPr>
              <w:t>增强群众自觉实行计划生育的积极性，稳定适度的低生育水平，提高计划生育家庭发展能力，增强计划生育家庭的凝聚力及成员幸福感。</w:t>
            </w:r>
          </w:p>
        </w:tc>
        <w:tc>
          <w:tcPr>
            <w:tcW w:w="1417" w:type="dxa"/>
            <w:vAlign w:val="center"/>
          </w:tcPr>
          <w:p>
            <w:pPr>
              <w:spacing w:line="570" w:lineRule="exact"/>
              <w:jc w:val="left"/>
              <w:rPr>
                <w:rFonts w:ascii="方正书宋_GBK" w:eastAsia="方正书宋_GBK"/>
              </w:rPr>
            </w:pPr>
            <w:r>
              <w:rPr>
                <w:rFonts w:hint="eastAsia" w:ascii="方正书宋_GBK" w:eastAsia="方正书宋_GBK"/>
              </w:rPr>
              <w:t>计划生育救助公益金各项帮扶措施落实到位率。含：</w:t>
            </w:r>
            <w:r>
              <w:rPr>
                <w:rFonts w:ascii="方正书宋_GBK" w:eastAsia="方正书宋_GBK"/>
              </w:rPr>
              <w:t>1</w:t>
            </w:r>
            <w:r>
              <w:rPr>
                <w:rFonts w:hint="eastAsia" w:ascii="方正书宋_GBK" w:eastAsia="方正书宋_GBK"/>
              </w:rPr>
              <w:t>、一次性救助金；</w:t>
            </w:r>
            <w:r>
              <w:rPr>
                <w:rFonts w:ascii="方正书宋_GBK" w:eastAsia="方正书宋_GBK"/>
              </w:rPr>
              <w:t>2</w:t>
            </w:r>
            <w:r>
              <w:rPr>
                <w:rFonts w:hint="eastAsia" w:ascii="方正书宋_GBK" w:eastAsia="方正书宋_GBK"/>
              </w:rPr>
              <w:t>、新型农村合作医疗和城镇居民基本医疗保险的个人缴费部分；</w:t>
            </w:r>
            <w:r>
              <w:rPr>
                <w:rFonts w:ascii="方正书宋_GBK" w:eastAsia="方正书宋_GBK"/>
              </w:rPr>
              <w:t>3</w:t>
            </w:r>
            <w:r>
              <w:rPr>
                <w:rFonts w:hint="eastAsia" w:ascii="方正书宋_GBK" w:eastAsia="方正书宋_GBK"/>
              </w:rPr>
              <w:t>、每年一次常规项目的健康体检；</w:t>
            </w:r>
            <w:r>
              <w:rPr>
                <w:rFonts w:ascii="方正书宋_GBK" w:eastAsia="方正书宋_GBK"/>
              </w:rPr>
              <w:t>4</w:t>
            </w:r>
            <w:r>
              <w:rPr>
                <w:rFonts w:hint="eastAsia" w:ascii="方正书宋_GBK" w:eastAsia="方正书宋_GBK"/>
              </w:rPr>
              <w:t>、住院护工补贴保险；</w:t>
            </w:r>
            <w:r>
              <w:rPr>
                <w:rFonts w:ascii="方正书宋_GBK" w:eastAsia="方正书宋_GBK"/>
              </w:rPr>
              <w:t>5</w:t>
            </w:r>
            <w:r>
              <w:rPr>
                <w:rFonts w:hint="eastAsia" w:ascii="方正书宋_GBK" w:eastAsia="方正书宋_GBK"/>
              </w:rPr>
              <w:t>、急重症</w:t>
            </w:r>
            <w:r>
              <w:rPr>
                <w:rFonts w:ascii="方正书宋_GBK" w:eastAsia="方正书宋_GBK"/>
              </w:rPr>
              <w:t>120</w:t>
            </w:r>
            <w:r>
              <w:rPr>
                <w:rFonts w:hint="eastAsia" w:ascii="方正书宋_GBK" w:eastAsia="方正书宋_GBK"/>
              </w:rPr>
              <w:t>院前急救服务。</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60.00%</w:t>
            </w:r>
          </w:p>
        </w:tc>
      </w:tr>
    </w:tbl>
    <w:p>
      <w:pPr>
        <w:widowControl/>
        <w:spacing w:line="570" w:lineRule="exact"/>
        <w:jc w:val="left"/>
        <w:rPr>
          <w:rFonts w:ascii="宋体" w:hAnsi="宋体" w:eastAsia="仿宋_GB2312" w:cs="宋体"/>
          <w:color w:val="000000"/>
          <w:kern w:val="0"/>
          <w:sz w:val="32"/>
          <w:szCs w:val="32"/>
        </w:rPr>
      </w:pPr>
    </w:p>
    <w:p>
      <w:pPr>
        <w:spacing w:line="570" w:lineRule="exact"/>
        <w:outlineLvl w:val="0"/>
        <w:rPr>
          <w:rFonts w:ascii="仿宋_GB2312" w:eastAsia="仿宋_GB2312" w:cs="FZFangSong-Z02"/>
          <w:color w:val="000000"/>
          <w:kern w:val="0"/>
          <w:sz w:val="32"/>
          <w:szCs w:val="32"/>
        </w:rPr>
      </w:pPr>
      <w:r>
        <w:rPr>
          <w:rFonts w:hint="eastAsia" w:ascii="黑体" w:eastAsia="黑体" w:cs="宋体"/>
          <w:b/>
          <w:bCs/>
          <w:color w:val="000000"/>
          <w:kern w:val="0"/>
          <w:sz w:val="32"/>
          <w:szCs w:val="32"/>
        </w:rPr>
        <w:t>六、政府采购预算情况</w:t>
      </w:r>
      <w:r>
        <w:rPr>
          <w:rFonts w:ascii="黑体" w:eastAsia="黑体" w:cs="宋体"/>
          <w:color w:val="000000"/>
          <w:kern w:val="0"/>
          <w:sz w:val="32"/>
          <w:szCs w:val="32"/>
        </w:rPr>
        <w:br w:type="textWrapping"/>
      </w:r>
      <w:r>
        <w:rPr>
          <w:rFonts w:ascii="宋体" w:hAnsi="宋体" w:eastAsia="仿宋_GB2312" w:cs="宋体"/>
          <w:color w:val="000000"/>
          <w:kern w:val="0"/>
          <w:sz w:val="32"/>
          <w:szCs w:val="32"/>
        </w:rPr>
        <w:t>  </w:t>
      </w:r>
      <w:r>
        <w:rPr>
          <w:rFonts w:ascii="仿宋_GB2312" w:eastAsia="仿宋_GB2312" w:cs="FZFangSong-Z02"/>
          <w:color w:val="000000"/>
          <w:kern w:val="0"/>
          <w:sz w:val="32"/>
          <w:szCs w:val="32"/>
        </w:rPr>
        <w:t xml:space="preserve"> 2018</w:t>
      </w:r>
      <w:r>
        <w:rPr>
          <w:rFonts w:hint="eastAsia" w:ascii="仿宋_GB2312" w:eastAsia="仿宋_GB2312" w:cs="FZFangSong-Z02"/>
          <w:color w:val="000000"/>
          <w:kern w:val="0"/>
          <w:sz w:val="32"/>
          <w:szCs w:val="32"/>
        </w:rPr>
        <w:t>年，我部门无安排政府采购预算。</w:t>
      </w:r>
    </w:p>
    <w:p>
      <w:pPr>
        <w:spacing w:line="570" w:lineRule="exact"/>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137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1"/>
        <w:gridCol w:w="1013"/>
        <w:gridCol w:w="834"/>
        <w:gridCol w:w="1327"/>
        <w:gridCol w:w="834"/>
        <w:gridCol w:w="834"/>
        <w:gridCol w:w="856"/>
        <w:gridCol w:w="853"/>
        <w:gridCol w:w="853"/>
        <w:gridCol w:w="853"/>
        <w:gridCol w:w="776"/>
        <w:gridCol w:w="837"/>
        <w:gridCol w:w="837"/>
        <w:gridCol w:w="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69" w:type="dxa"/>
            <w:gridSpan w:val="7"/>
            <w:tcBorders>
              <w:top w:val="single" w:color="FFFFFF" w:sz="6" w:space="0"/>
              <w:left w:val="single" w:color="FFFFFF" w:sz="6" w:space="0"/>
              <w:right w:val="single" w:color="FFFFFF" w:sz="6" w:space="0"/>
            </w:tcBorders>
            <w:vAlign w:val="center"/>
          </w:tcPr>
          <w:p>
            <w:pPr>
              <w:spacing w:line="570" w:lineRule="exact"/>
              <w:jc w:val="left"/>
              <w:rPr>
                <w:rFonts w:ascii="仿宋_GB2312" w:eastAsia="仿宋_GB2312" w:cs="Times New Roman"/>
                <w:sz w:val="28"/>
                <w:szCs w:val="28"/>
              </w:rPr>
            </w:pPr>
            <w:r>
              <w:rPr>
                <w:rFonts w:hint="eastAsia" w:ascii="仿宋_GB2312" w:eastAsia="仿宋_GB2312" w:cs="Times New Roman"/>
                <w:sz w:val="28"/>
                <w:szCs w:val="28"/>
                <w:lang w:val="en-US" w:eastAsia="zh-CN"/>
              </w:rPr>
              <w:t>570</w:t>
            </w:r>
            <w:r>
              <w:rPr>
                <w:rFonts w:hint="eastAsia" w:ascii="仿宋_GB2312" w:eastAsia="仿宋_GB2312" w:cs="Times New Roman"/>
                <w:sz w:val="28"/>
                <w:szCs w:val="28"/>
              </w:rPr>
              <w:t>廊坊市广阳区卫生和计划生育局</w:t>
            </w:r>
          </w:p>
        </w:tc>
        <w:tc>
          <w:tcPr>
            <w:tcW w:w="5796" w:type="dxa"/>
            <w:gridSpan w:val="7"/>
            <w:tcBorders>
              <w:top w:val="single" w:color="FFFFFF" w:sz="6" w:space="0"/>
              <w:left w:val="single" w:color="FFFFFF" w:sz="6" w:space="0"/>
              <w:right w:val="single" w:color="FFFFFF" w:sz="6" w:space="0"/>
            </w:tcBorders>
            <w:vAlign w:val="center"/>
          </w:tcPr>
          <w:p>
            <w:pPr>
              <w:spacing w:line="57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84" w:type="dxa"/>
            <w:gridSpan w:val="2"/>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834"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1327"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834"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r>
              <w:rPr>
                <w:rFonts w:ascii="仿宋_GB2312" w:eastAsia="仿宋_GB2312" w:cs="Times New Roman"/>
                <w:b/>
                <w:sz w:val="28"/>
                <w:szCs w:val="28"/>
              </w:rPr>
              <w:t xml:space="preserve">  </w:t>
            </w:r>
            <w:r>
              <w:rPr>
                <w:rFonts w:hint="eastAsia" w:ascii="仿宋_GB2312" w:eastAsia="仿宋_GB2312" w:cs="Times New Roman"/>
                <w:b/>
                <w:sz w:val="28"/>
                <w:szCs w:val="28"/>
              </w:rPr>
              <w:t>单位</w:t>
            </w:r>
          </w:p>
        </w:tc>
        <w:tc>
          <w:tcPr>
            <w:tcW w:w="834"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856"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5796" w:type="dxa"/>
            <w:gridSpan w:val="7"/>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1"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1013"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834" w:type="dxa"/>
            <w:vMerge w:val="continue"/>
            <w:vAlign w:val="center"/>
          </w:tcPr>
          <w:p/>
        </w:tc>
        <w:tc>
          <w:tcPr>
            <w:tcW w:w="1327" w:type="dxa"/>
            <w:vMerge w:val="continue"/>
            <w:vAlign w:val="center"/>
          </w:tcPr>
          <w:p/>
        </w:tc>
        <w:tc>
          <w:tcPr>
            <w:tcW w:w="834" w:type="dxa"/>
            <w:vMerge w:val="continue"/>
            <w:vAlign w:val="center"/>
          </w:tcPr>
          <w:p/>
        </w:tc>
        <w:tc>
          <w:tcPr>
            <w:tcW w:w="834" w:type="dxa"/>
            <w:vMerge w:val="continue"/>
            <w:vAlign w:val="center"/>
          </w:tcPr>
          <w:p/>
        </w:tc>
        <w:tc>
          <w:tcPr>
            <w:tcW w:w="856" w:type="dxa"/>
            <w:vMerge w:val="continue"/>
            <w:vAlign w:val="center"/>
          </w:tcPr>
          <w:p/>
        </w:tc>
        <w:tc>
          <w:tcPr>
            <w:tcW w:w="853"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4156" w:type="dxa"/>
            <w:gridSpan w:val="5"/>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787"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1" w:type="dxa"/>
            <w:vMerge w:val="continue"/>
            <w:vAlign w:val="center"/>
          </w:tcPr>
          <w:p/>
        </w:tc>
        <w:tc>
          <w:tcPr>
            <w:tcW w:w="1013" w:type="dxa"/>
            <w:vMerge w:val="continue"/>
            <w:vAlign w:val="center"/>
          </w:tcPr>
          <w:p/>
        </w:tc>
        <w:tc>
          <w:tcPr>
            <w:tcW w:w="834" w:type="dxa"/>
            <w:vMerge w:val="continue"/>
            <w:vAlign w:val="center"/>
          </w:tcPr>
          <w:p/>
        </w:tc>
        <w:tc>
          <w:tcPr>
            <w:tcW w:w="1327" w:type="dxa"/>
            <w:vMerge w:val="continue"/>
            <w:vAlign w:val="center"/>
          </w:tcPr>
          <w:p/>
        </w:tc>
        <w:tc>
          <w:tcPr>
            <w:tcW w:w="834" w:type="dxa"/>
            <w:vMerge w:val="continue"/>
            <w:vAlign w:val="center"/>
          </w:tcPr>
          <w:p/>
        </w:tc>
        <w:tc>
          <w:tcPr>
            <w:tcW w:w="834" w:type="dxa"/>
            <w:vMerge w:val="continue"/>
            <w:vAlign w:val="center"/>
          </w:tcPr>
          <w:p/>
        </w:tc>
        <w:tc>
          <w:tcPr>
            <w:tcW w:w="856" w:type="dxa"/>
            <w:vMerge w:val="continue"/>
            <w:vAlign w:val="center"/>
          </w:tcPr>
          <w:p/>
        </w:tc>
        <w:tc>
          <w:tcPr>
            <w:tcW w:w="853" w:type="dxa"/>
            <w:vMerge w:val="continue"/>
            <w:vAlign w:val="center"/>
          </w:tcPr>
          <w:p/>
        </w:tc>
        <w:tc>
          <w:tcPr>
            <w:tcW w:w="853"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853"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776"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837"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837"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787" w:type="dxa"/>
            <w:vMerge w:val="continue"/>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1013"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1327"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856"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776" w:type="dxa"/>
            <w:vAlign w:val="center"/>
          </w:tcPr>
          <w:p>
            <w:pPr>
              <w:spacing w:line="570" w:lineRule="exact"/>
              <w:jc w:val="center"/>
              <w:rPr>
                <w:rFonts w:ascii="仿宋_GB2312" w:eastAsia="仿宋_GB2312" w:cs="Times New Roman"/>
                <w:b/>
                <w:sz w:val="28"/>
                <w:szCs w:val="28"/>
              </w:rPr>
            </w:pPr>
          </w:p>
        </w:tc>
        <w:tc>
          <w:tcPr>
            <w:tcW w:w="837" w:type="dxa"/>
            <w:vAlign w:val="center"/>
          </w:tcPr>
          <w:p>
            <w:pPr>
              <w:spacing w:line="570" w:lineRule="exact"/>
              <w:jc w:val="center"/>
              <w:rPr>
                <w:rFonts w:ascii="仿宋_GB2312" w:eastAsia="仿宋_GB2312" w:cs="Times New Roman"/>
                <w:b/>
                <w:sz w:val="28"/>
                <w:szCs w:val="28"/>
              </w:rPr>
            </w:pPr>
          </w:p>
        </w:tc>
        <w:tc>
          <w:tcPr>
            <w:tcW w:w="837" w:type="dxa"/>
            <w:vAlign w:val="center"/>
          </w:tcPr>
          <w:p>
            <w:pPr>
              <w:spacing w:line="570" w:lineRule="exact"/>
              <w:jc w:val="center"/>
              <w:rPr>
                <w:rFonts w:ascii="仿宋_GB2312" w:eastAsia="仿宋_GB2312" w:cs="Times New Roman"/>
                <w:b/>
                <w:sz w:val="28"/>
                <w:szCs w:val="28"/>
              </w:rPr>
            </w:pPr>
          </w:p>
        </w:tc>
        <w:tc>
          <w:tcPr>
            <w:tcW w:w="787" w:type="dxa"/>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vAlign w:val="center"/>
          </w:tcPr>
          <w:p>
            <w:pPr>
              <w:spacing w:line="570" w:lineRule="exact"/>
              <w:jc w:val="center"/>
              <w:rPr>
                <w:rFonts w:ascii="仿宋_GB2312" w:eastAsia="仿宋_GB2312" w:cs="Times New Roman"/>
                <w:b/>
                <w:sz w:val="28"/>
                <w:szCs w:val="28"/>
              </w:rPr>
            </w:pPr>
          </w:p>
        </w:tc>
        <w:tc>
          <w:tcPr>
            <w:tcW w:w="1013"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1327"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856"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776" w:type="dxa"/>
            <w:vAlign w:val="center"/>
          </w:tcPr>
          <w:p>
            <w:pPr>
              <w:spacing w:line="570" w:lineRule="exact"/>
              <w:jc w:val="center"/>
              <w:rPr>
                <w:rFonts w:ascii="仿宋_GB2312" w:eastAsia="仿宋_GB2312" w:cs="Times New Roman"/>
                <w:b/>
                <w:sz w:val="28"/>
                <w:szCs w:val="28"/>
              </w:rPr>
            </w:pPr>
          </w:p>
        </w:tc>
        <w:tc>
          <w:tcPr>
            <w:tcW w:w="837" w:type="dxa"/>
            <w:vAlign w:val="center"/>
          </w:tcPr>
          <w:p>
            <w:pPr>
              <w:spacing w:line="570" w:lineRule="exact"/>
              <w:jc w:val="center"/>
              <w:rPr>
                <w:rFonts w:ascii="仿宋_GB2312" w:eastAsia="仿宋_GB2312" w:cs="Times New Roman"/>
                <w:b/>
                <w:sz w:val="28"/>
                <w:szCs w:val="28"/>
              </w:rPr>
            </w:pPr>
          </w:p>
        </w:tc>
        <w:tc>
          <w:tcPr>
            <w:tcW w:w="837" w:type="dxa"/>
            <w:vAlign w:val="center"/>
          </w:tcPr>
          <w:p>
            <w:pPr>
              <w:spacing w:line="570" w:lineRule="exact"/>
              <w:jc w:val="center"/>
              <w:rPr>
                <w:rFonts w:ascii="仿宋_GB2312" w:eastAsia="仿宋_GB2312" w:cs="Times New Roman"/>
                <w:b/>
                <w:sz w:val="28"/>
                <w:szCs w:val="28"/>
              </w:rPr>
            </w:pPr>
          </w:p>
        </w:tc>
        <w:tc>
          <w:tcPr>
            <w:tcW w:w="787" w:type="dxa"/>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vAlign w:val="center"/>
          </w:tcPr>
          <w:p>
            <w:pPr>
              <w:spacing w:line="570" w:lineRule="exact"/>
              <w:jc w:val="center"/>
              <w:rPr>
                <w:rFonts w:ascii="仿宋_GB2312" w:eastAsia="仿宋_GB2312" w:cs="Times New Roman"/>
                <w:sz w:val="28"/>
                <w:szCs w:val="28"/>
              </w:rPr>
            </w:pPr>
          </w:p>
        </w:tc>
        <w:tc>
          <w:tcPr>
            <w:tcW w:w="1013" w:type="dxa"/>
            <w:vAlign w:val="center"/>
          </w:tcPr>
          <w:p>
            <w:pPr>
              <w:spacing w:line="570" w:lineRule="exact"/>
              <w:jc w:val="center"/>
              <w:rPr>
                <w:rFonts w:ascii="仿宋_GB2312" w:eastAsia="仿宋_GB2312" w:cs="Times New Roman"/>
                <w:sz w:val="28"/>
                <w:szCs w:val="28"/>
              </w:rPr>
            </w:pPr>
          </w:p>
        </w:tc>
        <w:tc>
          <w:tcPr>
            <w:tcW w:w="834" w:type="dxa"/>
            <w:vAlign w:val="center"/>
          </w:tcPr>
          <w:p>
            <w:pPr>
              <w:spacing w:line="570" w:lineRule="exact"/>
              <w:jc w:val="center"/>
              <w:rPr>
                <w:rFonts w:ascii="仿宋_GB2312" w:eastAsia="仿宋_GB2312" w:cs="Times New Roman"/>
                <w:sz w:val="28"/>
                <w:szCs w:val="28"/>
              </w:rPr>
            </w:pPr>
          </w:p>
        </w:tc>
        <w:tc>
          <w:tcPr>
            <w:tcW w:w="1327" w:type="dxa"/>
            <w:vAlign w:val="center"/>
          </w:tcPr>
          <w:p>
            <w:pPr>
              <w:spacing w:line="570" w:lineRule="exact"/>
              <w:jc w:val="center"/>
              <w:rPr>
                <w:rFonts w:ascii="仿宋_GB2312" w:eastAsia="仿宋_GB2312" w:cs="Times New Roman"/>
                <w:sz w:val="28"/>
                <w:szCs w:val="28"/>
              </w:rPr>
            </w:pPr>
          </w:p>
        </w:tc>
        <w:tc>
          <w:tcPr>
            <w:tcW w:w="834" w:type="dxa"/>
            <w:vAlign w:val="center"/>
          </w:tcPr>
          <w:p>
            <w:pPr>
              <w:spacing w:line="570" w:lineRule="exact"/>
              <w:jc w:val="center"/>
              <w:rPr>
                <w:rFonts w:ascii="仿宋_GB2312" w:eastAsia="仿宋_GB2312" w:cs="Times New Roman"/>
                <w:sz w:val="28"/>
                <w:szCs w:val="28"/>
              </w:rPr>
            </w:pPr>
          </w:p>
        </w:tc>
        <w:tc>
          <w:tcPr>
            <w:tcW w:w="834" w:type="dxa"/>
            <w:vAlign w:val="center"/>
          </w:tcPr>
          <w:p>
            <w:pPr>
              <w:spacing w:line="570" w:lineRule="exact"/>
              <w:jc w:val="center"/>
              <w:rPr>
                <w:rFonts w:ascii="仿宋_GB2312" w:eastAsia="仿宋_GB2312" w:cs="Times New Roman"/>
                <w:sz w:val="28"/>
                <w:szCs w:val="28"/>
              </w:rPr>
            </w:pPr>
          </w:p>
        </w:tc>
        <w:tc>
          <w:tcPr>
            <w:tcW w:w="856" w:type="dxa"/>
            <w:vAlign w:val="center"/>
          </w:tcPr>
          <w:p>
            <w:pPr>
              <w:spacing w:line="570" w:lineRule="exact"/>
              <w:jc w:val="center"/>
              <w:rPr>
                <w:rFonts w:ascii="仿宋_GB2312" w:eastAsia="仿宋_GB2312" w:cs="Times New Roman"/>
                <w:sz w:val="28"/>
                <w:szCs w:val="28"/>
              </w:rPr>
            </w:pPr>
          </w:p>
        </w:tc>
        <w:tc>
          <w:tcPr>
            <w:tcW w:w="853" w:type="dxa"/>
            <w:vAlign w:val="center"/>
          </w:tcPr>
          <w:p>
            <w:pPr>
              <w:spacing w:line="570" w:lineRule="exact"/>
              <w:jc w:val="center"/>
              <w:rPr>
                <w:rFonts w:ascii="仿宋_GB2312" w:eastAsia="仿宋_GB2312" w:cs="Times New Roman"/>
                <w:sz w:val="28"/>
                <w:szCs w:val="28"/>
              </w:rPr>
            </w:pPr>
          </w:p>
        </w:tc>
        <w:tc>
          <w:tcPr>
            <w:tcW w:w="853" w:type="dxa"/>
            <w:vAlign w:val="center"/>
          </w:tcPr>
          <w:p>
            <w:pPr>
              <w:spacing w:line="570" w:lineRule="exact"/>
              <w:jc w:val="center"/>
              <w:rPr>
                <w:rFonts w:ascii="仿宋_GB2312" w:eastAsia="仿宋_GB2312" w:cs="Times New Roman"/>
                <w:sz w:val="28"/>
                <w:szCs w:val="28"/>
              </w:rPr>
            </w:pPr>
          </w:p>
        </w:tc>
        <w:tc>
          <w:tcPr>
            <w:tcW w:w="853" w:type="dxa"/>
            <w:vAlign w:val="center"/>
          </w:tcPr>
          <w:p>
            <w:pPr>
              <w:spacing w:line="570" w:lineRule="exact"/>
              <w:jc w:val="center"/>
              <w:rPr>
                <w:rFonts w:ascii="仿宋_GB2312" w:eastAsia="仿宋_GB2312" w:cs="Times New Roman"/>
                <w:sz w:val="28"/>
                <w:szCs w:val="28"/>
              </w:rPr>
            </w:pPr>
          </w:p>
        </w:tc>
        <w:tc>
          <w:tcPr>
            <w:tcW w:w="776" w:type="dxa"/>
            <w:vAlign w:val="center"/>
          </w:tcPr>
          <w:p>
            <w:pPr>
              <w:spacing w:line="570" w:lineRule="exact"/>
              <w:jc w:val="center"/>
              <w:rPr>
                <w:rFonts w:ascii="仿宋_GB2312" w:eastAsia="仿宋_GB2312" w:cs="Times New Roman"/>
                <w:sz w:val="28"/>
                <w:szCs w:val="28"/>
              </w:rPr>
            </w:pPr>
          </w:p>
        </w:tc>
        <w:tc>
          <w:tcPr>
            <w:tcW w:w="837" w:type="dxa"/>
            <w:vAlign w:val="center"/>
          </w:tcPr>
          <w:p>
            <w:pPr>
              <w:spacing w:line="570" w:lineRule="exact"/>
              <w:jc w:val="center"/>
              <w:rPr>
                <w:rFonts w:ascii="仿宋_GB2312" w:eastAsia="仿宋_GB2312" w:cs="Times New Roman"/>
                <w:sz w:val="28"/>
                <w:szCs w:val="28"/>
              </w:rPr>
            </w:pPr>
          </w:p>
        </w:tc>
        <w:tc>
          <w:tcPr>
            <w:tcW w:w="837" w:type="dxa"/>
            <w:vAlign w:val="center"/>
          </w:tcPr>
          <w:p>
            <w:pPr>
              <w:spacing w:line="570" w:lineRule="exact"/>
              <w:jc w:val="center"/>
              <w:rPr>
                <w:rFonts w:ascii="仿宋_GB2312" w:eastAsia="仿宋_GB2312" w:cs="Times New Roman"/>
                <w:sz w:val="28"/>
                <w:szCs w:val="28"/>
              </w:rPr>
            </w:pPr>
          </w:p>
        </w:tc>
        <w:tc>
          <w:tcPr>
            <w:tcW w:w="787" w:type="dxa"/>
            <w:vAlign w:val="center"/>
          </w:tcPr>
          <w:p>
            <w:pPr>
              <w:spacing w:line="570" w:lineRule="exact"/>
              <w:jc w:val="center"/>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vAlign w:val="center"/>
          </w:tcPr>
          <w:p>
            <w:pPr>
              <w:spacing w:line="570" w:lineRule="exact"/>
              <w:jc w:val="center"/>
              <w:rPr>
                <w:rFonts w:ascii="仿宋_GB2312" w:eastAsia="仿宋_GB2312" w:cs="Times New Roman"/>
                <w:sz w:val="28"/>
                <w:szCs w:val="28"/>
              </w:rPr>
            </w:pPr>
          </w:p>
        </w:tc>
        <w:tc>
          <w:tcPr>
            <w:tcW w:w="1013" w:type="dxa"/>
            <w:vAlign w:val="center"/>
          </w:tcPr>
          <w:p>
            <w:pPr>
              <w:spacing w:line="570" w:lineRule="exact"/>
              <w:jc w:val="center"/>
              <w:rPr>
                <w:rFonts w:ascii="仿宋_GB2312" w:eastAsia="仿宋_GB2312" w:cs="Times New Roman"/>
                <w:sz w:val="28"/>
                <w:szCs w:val="28"/>
              </w:rPr>
            </w:pPr>
          </w:p>
        </w:tc>
        <w:tc>
          <w:tcPr>
            <w:tcW w:w="834" w:type="dxa"/>
            <w:vAlign w:val="center"/>
          </w:tcPr>
          <w:p>
            <w:pPr>
              <w:spacing w:line="570" w:lineRule="exact"/>
              <w:jc w:val="center"/>
              <w:rPr>
                <w:rFonts w:ascii="仿宋_GB2312" w:eastAsia="仿宋_GB2312" w:cs="Times New Roman"/>
                <w:sz w:val="28"/>
                <w:szCs w:val="28"/>
              </w:rPr>
            </w:pPr>
          </w:p>
        </w:tc>
        <w:tc>
          <w:tcPr>
            <w:tcW w:w="1327" w:type="dxa"/>
            <w:vAlign w:val="center"/>
          </w:tcPr>
          <w:p>
            <w:pPr>
              <w:spacing w:line="570" w:lineRule="exact"/>
              <w:jc w:val="center"/>
              <w:rPr>
                <w:rFonts w:ascii="仿宋_GB2312" w:eastAsia="仿宋_GB2312" w:cs="Times New Roman"/>
                <w:sz w:val="28"/>
                <w:szCs w:val="28"/>
              </w:rPr>
            </w:pPr>
          </w:p>
        </w:tc>
        <w:tc>
          <w:tcPr>
            <w:tcW w:w="834" w:type="dxa"/>
            <w:vAlign w:val="center"/>
          </w:tcPr>
          <w:p>
            <w:pPr>
              <w:spacing w:line="570" w:lineRule="exact"/>
              <w:jc w:val="center"/>
              <w:rPr>
                <w:rFonts w:ascii="仿宋_GB2312" w:eastAsia="仿宋_GB2312" w:cs="Times New Roman"/>
                <w:sz w:val="28"/>
                <w:szCs w:val="28"/>
              </w:rPr>
            </w:pPr>
          </w:p>
        </w:tc>
        <w:tc>
          <w:tcPr>
            <w:tcW w:w="834" w:type="dxa"/>
            <w:vAlign w:val="center"/>
          </w:tcPr>
          <w:p>
            <w:pPr>
              <w:spacing w:line="570" w:lineRule="exact"/>
              <w:jc w:val="center"/>
              <w:rPr>
                <w:rFonts w:ascii="仿宋_GB2312" w:eastAsia="仿宋_GB2312" w:cs="Times New Roman"/>
                <w:sz w:val="28"/>
                <w:szCs w:val="28"/>
              </w:rPr>
            </w:pPr>
          </w:p>
        </w:tc>
        <w:tc>
          <w:tcPr>
            <w:tcW w:w="856" w:type="dxa"/>
            <w:vAlign w:val="center"/>
          </w:tcPr>
          <w:p>
            <w:pPr>
              <w:spacing w:line="570" w:lineRule="exact"/>
              <w:jc w:val="center"/>
              <w:rPr>
                <w:rFonts w:ascii="仿宋_GB2312" w:eastAsia="仿宋_GB2312" w:cs="Times New Roman"/>
                <w:sz w:val="28"/>
                <w:szCs w:val="28"/>
              </w:rPr>
            </w:pPr>
          </w:p>
        </w:tc>
        <w:tc>
          <w:tcPr>
            <w:tcW w:w="853" w:type="dxa"/>
            <w:vAlign w:val="center"/>
          </w:tcPr>
          <w:p>
            <w:pPr>
              <w:spacing w:line="570" w:lineRule="exact"/>
              <w:jc w:val="center"/>
              <w:rPr>
                <w:rFonts w:ascii="仿宋_GB2312" w:eastAsia="仿宋_GB2312" w:cs="Times New Roman"/>
                <w:sz w:val="28"/>
                <w:szCs w:val="28"/>
              </w:rPr>
            </w:pPr>
          </w:p>
        </w:tc>
        <w:tc>
          <w:tcPr>
            <w:tcW w:w="853" w:type="dxa"/>
            <w:vAlign w:val="center"/>
          </w:tcPr>
          <w:p>
            <w:pPr>
              <w:spacing w:line="570" w:lineRule="exact"/>
              <w:jc w:val="center"/>
              <w:rPr>
                <w:rFonts w:ascii="仿宋_GB2312" w:eastAsia="仿宋_GB2312" w:cs="Times New Roman"/>
                <w:sz w:val="28"/>
                <w:szCs w:val="28"/>
              </w:rPr>
            </w:pPr>
          </w:p>
        </w:tc>
        <w:tc>
          <w:tcPr>
            <w:tcW w:w="853" w:type="dxa"/>
            <w:vAlign w:val="center"/>
          </w:tcPr>
          <w:p>
            <w:pPr>
              <w:spacing w:line="570" w:lineRule="exact"/>
              <w:jc w:val="center"/>
              <w:rPr>
                <w:rFonts w:ascii="仿宋_GB2312" w:eastAsia="仿宋_GB2312" w:cs="Times New Roman"/>
                <w:sz w:val="28"/>
                <w:szCs w:val="28"/>
              </w:rPr>
            </w:pPr>
          </w:p>
        </w:tc>
        <w:tc>
          <w:tcPr>
            <w:tcW w:w="776" w:type="dxa"/>
            <w:vAlign w:val="center"/>
          </w:tcPr>
          <w:p>
            <w:pPr>
              <w:spacing w:line="570" w:lineRule="exact"/>
              <w:jc w:val="center"/>
              <w:rPr>
                <w:rFonts w:ascii="仿宋_GB2312" w:eastAsia="仿宋_GB2312" w:cs="Times New Roman"/>
                <w:sz w:val="28"/>
                <w:szCs w:val="28"/>
              </w:rPr>
            </w:pPr>
          </w:p>
        </w:tc>
        <w:tc>
          <w:tcPr>
            <w:tcW w:w="837" w:type="dxa"/>
            <w:vAlign w:val="center"/>
          </w:tcPr>
          <w:p>
            <w:pPr>
              <w:spacing w:line="570" w:lineRule="exact"/>
              <w:jc w:val="center"/>
              <w:rPr>
                <w:rFonts w:ascii="仿宋_GB2312" w:eastAsia="仿宋_GB2312" w:cs="Times New Roman"/>
                <w:sz w:val="28"/>
                <w:szCs w:val="28"/>
              </w:rPr>
            </w:pPr>
          </w:p>
        </w:tc>
        <w:tc>
          <w:tcPr>
            <w:tcW w:w="837" w:type="dxa"/>
            <w:vAlign w:val="center"/>
          </w:tcPr>
          <w:p>
            <w:pPr>
              <w:spacing w:line="570" w:lineRule="exact"/>
              <w:jc w:val="center"/>
              <w:rPr>
                <w:rFonts w:ascii="仿宋_GB2312" w:eastAsia="仿宋_GB2312" w:cs="Times New Roman"/>
                <w:sz w:val="28"/>
                <w:szCs w:val="28"/>
              </w:rPr>
            </w:pPr>
          </w:p>
        </w:tc>
        <w:tc>
          <w:tcPr>
            <w:tcW w:w="787" w:type="dxa"/>
            <w:vAlign w:val="center"/>
          </w:tcPr>
          <w:p>
            <w:pPr>
              <w:spacing w:line="570" w:lineRule="exact"/>
              <w:jc w:val="center"/>
              <w:rPr>
                <w:rFonts w:ascii="仿宋_GB2312" w:eastAsia="仿宋_GB2312" w:cs="Times New Roman"/>
                <w:sz w:val="28"/>
                <w:szCs w:val="28"/>
              </w:rPr>
            </w:pPr>
          </w:p>
        </w:tc>
      </w:tr>
    </w:tbl>
    <w:p>
      <w:pPr>
        <w:spacing w:line="570" w:lineRule="exact"/>
        <w:outlineLvl w:val="0"/>
        <w:rPr>
          <w:rFonts w:ascii="仿宋_GB2312" w:eastAsia="仿宋_GB2312" w:cs="宋体"/>
          <w:b/>
          <w:bCs/>
          <w:color w:val="000000"/>
          <w:kern w:val="0"/>
          <w:sz w:val="32"/>
          <w:szCs w:val="32"/>
        </w:rPr>
      </w:pPr>
    </w:p>
    <w:p>
      <w:pPr>
        <w:widowControl/>
        <w:spacing w:line="570" w:lineRule="exact"/>
        <w:ind w:left="160" w:hanging="161" w:hangingChars="50"/>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br w:type="page"/>
      </w:r>
      <w:r>
        <w:rPr>
          <w:rFonts w:hint="eastAsia" w:ascii="黑体" w:eastAsia="黑体" w:cs="宋体"/>
          <w:b/>
          <w:bCs/>
          <w:color w:val="000000"/>
          <w:kern w:val="0"/>
          <w:sz w:val="32"/>
          <w:szCs w:val="32"/>
        </w:rPr>
        <w:t>七、国有资产信息</w:t>
      </w:r>
      <w:r>
        <w:rPr>
          <w:rFonts w:ascii="黑体" w:eastAsia="黑体" w:cs="宋体"/>
          <w:color w:val="000000"/>
          <w:kern w:val="0"/>
          <w:sz w:val="32"/>
          <w:szCs w:val="32"/>
        </w:rPr>
        <w:br w:type="textWrapping"/>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广阳区卫生和计划生育局</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上年末固定资产金额</w:t>
      </w:r>
      <w:r>
        <w:rPr>
          <w:rFonts w:hint="eastAsia" w:ascii="仿宋_GB2312" w:eastAsia="仿宋_GB2312" w:cs="宋体"/>
          <w:kern w:val="0"/>
          <w:sz w:val="32"/>
          <w:szCs w:val="32"/>
          <w:lang w:val="en-US" w:eastAsia="zh-CN"/>
        </w:rPr>
        <w:t>2502.83</w:t>
      </w:r>
      <w:r>
        <w:rPr>
          <w:rFonts w:hint="eastAsia" w:ascii="仿宋_GB2312" w:eastAsia="仿宋_GB2312" w:cs="宋体"/>
          <w:kern w:val="0"/>
          <w:sz w:val="32"/>
          <w:szCs w:val="32"/>
        </w:rPr>
        <w:t>万元</w:t>
      </w:r>
      <w:r>
        <w:rPr>
          <w:rFonts w:hint="eastAsia" w:ascii="仿宋_GB2312" w:eastAsia="仿宋_GB2312" w:cs="宋体"/>
          <w:color w:val="000000"/>
          <w:kern w:val="0"/>
          <w:sz w:val="32"/>
          <w:szCs w:val="32"/>
        </w:rPr>
        <w:t>，我部门本年</w:t>
      </w:r>
      <w:r>
        <w:rPr>
          <w:rFonts w:hint="eastAsia" w:ascii="仿宋_GB2312" w:eastAsia="仿宋_GB2312" w:cs="宋体"/>
          <w:kern w:val="0"/>
          <w:sz w:val="32"/>
          <w:szCs w:val="32"/>
        </w:rPr>
        <w:t>度</w:t>
      </w:r>
      <w:r>
        <w:rPr>
          <w:rFonts w:hint="eastAsia" w:ascii="仿宋_GB2312" w:eastAsia="仿宋_GB2312" w:cs="FZFangSong-Z02"/>
          <w:color w:val="000000"/>
          <w:kern w:val="0"/>
          <w:sz w:val="32"/>
          <w:szCs w:val="32"/>
        </w:rPr>
        <w:t>无拟</w:t>
      </w:r>
      <w:r>
        <w:rPr>
          <w:rFonts w:hint="eastAsia" w:ascii="仿宋_GB2312" w:eastAsia="仿宋_GB2312" w:cs="宋体"/>
          <w:color w:val="000000"/>
          <w:kern w:val="0"/>
          <w:sz w:val="32"/>
          <w:szCs w:val="32"/>
        </w:rPr>
        <w:t>购置固定资产。详见下表</w:t>
      </w:r>
    </w:p>
    <w:tbl>
      <w:tblPr>
        <w:tblStyle w:val="4"/>
        <w:tblW w:w="1034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05"/>
        <w:gridCol w:w="2565"/>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blCellSpacing w:w="0" w:type="dxa"/>
          <w:jc w:val="center"/>
        </w:trPr>
        <w:tc>
          <w:tcPr>
            <w:tcW w:w="10340" w:type="dxa"/>
            <w:gridSpan w:val="3"/>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6570" w:type="dxa"/>
            <w:gridSpan w:val="2"/>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kern w:val="0"/>
                <w:sz w:val="28"/>
                <w:szCs w:val="28"/>
                <w:lang w:val="en-US" w:eastAsia="zh-CN"/>
              </w:rPr>
              <w:t>570</w:t>
            </w:r>
            <w:r>
              <w:rPr>
                <w:rFonts w:hint="eastAsia" w:ascii="仿宋_GB2312" w:eastAsia="仿宋_GB2312" w:cs="宋体"/>
                <w:b/>
                <w:bCs/>
                <w:kern w:val="0"/>
                <w:sz w:val="28"/>
                <w:szCs w:val="28"/>
              </w:rPr>
              <w:t>廊坊市广阳区卫生和计划生育局</w:t>
            </w:r>
          </w:p>
        </w:tc>
        <w:tc>
          <w:tcPr>
            <w:tcW w:w="3770" w:type="dxa"/>
            <w:vAlign w:val="center"/>
          </w:tcPr>
          <w:p>
            <w:pPr>
              <w:widowControl/>
              <w:spacing w:line="570" w:lineRule="exact"/>
              <w:jc w:val="center"/>
              <w:rPr>
                <w:rFonts w:ascii="宋体" w:hAnsi="宋体" w:eastAsia="仿宋_GB2312" w:cs="宋体"/>
                <w:kern w:val="0"/>
                <w:sz w:val="28"/>
                <w:szCs w:val="28"/>
              </w:rPr>
            </w:pPr>
            <w:r>
              <w:rPr>
                <w:rFonts w:hint="eastAsia" w:ascii="仿宋_GB2312" w:eastAsia="仿宋_GB2312" w:cs="宋体"/>
                <w:kern w:val="0"/>
                <w:sz w:val="28"/>
                <w:szCs w:val="28"/>
              </w:rPr>
              <w:t>截止时间：</w:t>
            </w:r>
            <w:r>
              <w:rPr>
                <w:rFonts w:ascii="仿宋_GB2312" w:eastAsia="仿宋_GB2312" w:cs="宋体"/>
                <w:kern w:val="0"/>
                <w:sz w:val="28"/>
                <w:szCs w:val="28"/>
              </w:rPr>
              <w:t>2017</w:t>
            </w:r>
            <w:r>
              <w:rPr>
                <w:rFonts w:hint="eastAsia" w:ascii="仿宋_GB2312" w:eastAsia="仿宋_GB2312" w:cs="宋体"/>
                <w:kern w:val="0"/>
                <w:sz w:val="28"/>
                <w:szCs w:val="28"/>
              </w:rPr>
              <w:t>年</w:t>
            </w:r>
            <w:r>
              <w:rPr>
                <w:rFonts w:ascii="仿宋_GB2312" w:eastAsia="仿宋_GB2312" w:cs="宋体"/>
                <w:kern w:val="0"/>
                <w:sz w:val="28"/>
                <w:szCs w:val="28"/>
              </w:rPr>
              <w:t>12</w:t>
            </w:r>
            <w:r>
              <w:rPr>
                <w:rFonts w:hint="eastAsia" w:ascii="仿宋_GB2312" w:eastAsia="仿宋_GB2312" w:cs="宋体"/>
                <w:kern w:val="0"/>
                <w:sz w:val="28"/>
                <w:szCs w:val="28"/>
              </w:rPr>
              <w:t>月</w:t>
            </w:r>
            <w:r>
              <w:rPr>
                <w:rFonts w:ascii="仿宋_GB2312" w:eastAsia="仿宋_GB2312" w:cs="宋体"/>
                <w:kern w:val="0"/>
                <w:sz w:val="28"/>
                <w:szCs w:val="28"/>
              </w:rPr>
              <w:t>31</w:t>
            </w:r>
            <w:r>
              <w:rPr>
                <w:rFonts w:hint="eastAsia" w:ascii="仿宋_GB2312" w:eastAsia="仿宋_GB2312" w:cs="宋体"/>
                <w:kern w:val="0"/>
                <w:sz w:val="28"/>
                <w:szCs w:val="28"/>
              </w:rPr>
              <w:t>日</w:t>
            </w:r>
            <w:r>
              <w:rPr>
                <w:rFonts w:ascii="宋体" w:hAnsi="宋体" w:eastAsia="仿宋_GB2312" w:cs="宋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blCellSpacing w:w="0" w:type="dxa"/>
          <w:jc w:val="center"/>
        </w:trPr>
        <w:tc>
          <w:tcPr>
            <w:tcW w:w="4005" w:type="dxa"/>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65" w:type="dxa"/>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70" w:type="dxa"/>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3" w:hRule="atLeast"/>
          <w:tblCellSpacing w:w="0" w:type="dxa"/>
          <w:jc w:val="center"/>
        </w:trPr>
        <w:tc>
          <w:tcPr>
            <w:tcW w:w="4005" w:type="dxa"/>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65" w:type="dxa"/>
            <w:vAlign w:val="center"/>
          </w:tcPr>
          <w:p>
            <w:pPr>
              <w:widowControl/>
              <w:spacing w:line="570" w:lineRule="exact"/>
              <w:jc w:val="center"/>
              <w:rPr>
                <w:rFonts w:ascii="仿宋_GB2312" w:eastAsia="仿宋_GB2312" w:cs="宋体"/>
                <w:kern w:val="0"/>
                <w:sz w:val="28"/>
                <w:szCs w:val="28"/>
              </w:rPr>
            </w:pPr>
          </w:p>
        </w:tc>
        <w:tc>
          <w:tcPr>
            <w:tcW w:w="3770" w:type="dxa"/>
            <w:vAlign w:val="center"/>
          </w:tcPr>
          <w:p>
            <w:pPr>
              <w:widowControl/>
              <w:spacing w:line="570" w:lineRule="exact"/>
              <w:jc w:val="center"/>
              <w:rPr>
                <w:rFonts w:hint="eastAsia" w:ascii="宋体" w:eastAsia="宋体" w:cs="宋体"/>
                <w:sz w:val="28"/>
                <w:szCs w:val="28"/>
                <w:lang w:val="en-US" w:eastAsia="zh-CN"/>
              </w:rPr>
            </w:pPr>
            <w:r>
              <w:rPr>
                <w:rFonts w:hint="eastAsia" w:ascii="宋体" w:cs="宋体"/>
                <w:kern w:val="0"/>
                <w:sz w:val="24"/>
                <w:szCs w:val="24"/>
                <w:lang w:val="en-US" w:eastAsia="zh-CN"/>
              </w:rPr>
              <w:t>2502.83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tblCellSpacing w:w="0" w:type="dxa"/>
          <w:jc w:val="center"/>
        </w:trPr>
        <w:tc>
          <w:tcPr>
            <w:tcW w:w="4005" w:type="dxa"/>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1</w:t>
            </w:r>
            <w:r>
              <w:rPr>
                <w:rFonts w:hint="eastAsia" w:ascii="仿宋_GB2312" w:eastAsia="仿宋_GB2312" w:cs="宋体"/>
                <w:kern w:val="0"/>
                <w:sz w:val="28"/>
                <w:szCs w:val="28"/>
              </w:rPr>
              <w:t>、房屋（平方米）</w:t>
            </w:r>
          </w:p>
        </w:tc>
        <w:tc>
          <w:tcPr>
            <w:tcW w:w="2565" w:type="dxa"/>
            <w:vAlign w:val="center"/>
          </w:tcPr>
          <w:p>
            <w:pPr>
              <w:widowControl/>
              <w:spacing w:line="570" w:lineRule="exact"/>
              <w:jc w:val="center"/>
              <w:rPr>
                <w:rFonts w:ascii="宋体" w:cs="宋体"/>
                <w:sz w:val="28"/>
                <w:szCs w:val="28"/>
              </w:rPr>
            </w:pPr>
            <w:r>
              <w:rPr>
                <w:rFonts w:ascii="宋体" w:cs="宋体"/>
                <w:kern w:val="0"/>
                <w:sz w:val="24"/>
                <w:szCs w:val="24"/>
              </w:rPr>
              <w:t>12364.3</w:t>
            </w:r>
          </w:p>
        </w:tc>
        <w:tc>
          <w:tcPr>
            <w:tcW w:w="3770" w:type="dxa"/>
            <w:vAlign w:val="center"/>
          </w:tcPr>
          <w:p>
            <w:pPr>
              <w:widowControl/>
              <w:spacing w:line="570" w:lineRule="exact"/>
              <w:jc w:val="center"/>
              <w:rPr>
                <w:rFonts w:ascii="仿宋_GB2312" w:eastAsia="仿宋_GB2312" w:cs="宋体"/>
                <w:kern w:val="0"/>
                <w:sz w:val="28"/>
                <w:szCs w:val="28"/>
              </w:rPr>
            </w:pPr>
            <w:r>
              <w:rPr>
                <w:rFonts w:ascii="宋体" w:cs="宋体"/>
                <w:kern w:val="0"/>
                <w:sz w:val="24"/>
                <w:szCs w:val="24"/>
              </w:rPr>
              <w:t>281.08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blCellSpacing w:w="0" w:type="dxa"/>
          <w:jc w:val="center"/>
        </w:trPr>
        <w:tc>
          <w:tcPr>
            <w:tcW w:w="4005" w:type="dxa"/>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65" w:type="dxa"/>
            <w:vAlign w:val="center"/>
          </w:tcPr>
          <w:p>
            <w:pPr>
              <w:widowControl/>
              <w:spacing w:line="570" w:lineRule="exact"/>
              <w:jc w:val="center"/>
              <w:rPr>
                <w:rFonts w:ascii="仿宋_GB2312" w:eastAsia="仿宋_GB2312" w:cs="宋体"/>
                <w:kern w:val="0"/>
                <w:sz w:val="28"/>
                <w:szCs w:val="28"/>
              </w:rPr>
            </w:pPr>
            <w:r>
              <w:rPr>
                <w:rFonts w:ascii="宋体" w:cs="宋体"/>
                <w:kern w:val="0"/>
                <w:sz w:val="24"/>
                <w:szCs w:val="24"/>
              </w:rPr>
              <w:t>2835.3</w:t>
            </w:r>
          </w:p>
        </w:tc>
        <w:tc>
          <w:tcPr>
            <w:tcW w:w="3770" w:type="dxa"/>
            <w:vAlign w:val="center"/>
          </w:tcPr>
          <w:p>
            <w:pPr>
              <w:widowControl/>
              <w:spacing w:line="570" w:lineRule="exact"/>
              <w:jc w:val="center"/>
              <w:rPr>
                <w:rFonts w:ascii="仿宋_GB2312" w:eastAsia="仿宋_GB2312" w:cs="宋体"/>
                <w:kern w:val="0"/>
                <w:sz w:val="28"/>
                <w:szCs w:val="28"/>
              </w:rPr>
            </w:pPr>
            <w:r>
              <w:rPr>
                <w:rFonts w:ascii="宋体" w:cs="宋体"/>
                <w:kern w:val="0"/>
                <w:sz w:val="24"/>
                <w:szCs w:val="24"/>
              </w:rPr>
              <w:t>142.41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blCellSpacing w:w="0" w:type="dxa"/>
          <w:jc w:val="center"/>
        </w:trPr>
        <w:tc>
          <w:tcPr>
            <w:tcW w:w="4005" w:type="dxa"/>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2</w:t>
            </w:r>
            <w:r>
              <w:rPr>
                <w:rFonts w:hint="eastAsia" w:ascii="仿宋_GB2312" w:eastAsia="仿宋_GB2312" w:cs="宋体"/>
                <w:kern w:val="0"/>
                <w:sz w:val="28"/>
                <w:szCs w:val="28"/>
              </w:rPr>
              <w:t>、车辆（台、辆）</w:t>
            </w:r>
          </w:p>
        </w:tc>
        <w:tc>
          <w:tcPr>
            <w:tcW w:w="2565" w:type="dxa"/>
            <w:vAlign w:val="center"/>
          </w:tcPr>
          <w:p>
            <w:pPr>
              <w:widowControl/>
              <w:spacing w:line="570" w:lineRule="exact"/>
              <w:jc w:val="center"/>
              <w:rPr>
                <w:rFonts w:ascii="仿宋_GB2312" w:eastAsia="仿宋_GB2312" w:cs="宋体"/>
                <w:kern w:val="0"/>
                <w:sz w:val="28"/>
                <w:szCs w:val="28"/>
              </w:rPr>
            </w:pPr>
            <w:r>
              <w:rPr>
                <w:rFonts w:ascii="宋体" w:cs="宋体"/>
                <w:kern w:val="0"/>
                <w:sz w:val="24"/>
                <w:szCs w:val="24"/>
              </w:rPr>
              <w:t>14</w:t>
            </w:r>
          </w:p>
        </w:tc>
        <w:tc>
          <w:tcPr>
            <w:tcW w:w="3770" w:type="dxa"/>
            <w:vAlign w:val="center"/>
          </w:tcPr>
          <w:p>
            <w:pPr>
              <w:widowControl/>
              <w:spacing w:line="570" w:lineRule="exact"/>
              <w:jc w:val="center"/>
              <w:rPr>
                <w:rFonts w:ascii="仿宋_GB2312" w:eastAsia="仿宋_GB2312" w:cs="宋体"/>
                <w:kern w:val="0"/>
                <w:sz w:val="28"/>
                <w:szCs w:val="28"/>
              </w:rPr>
            </w:pPr>
            <w:r>
              <w:rPr>
                <w:rFonts w:ascii="宋体" w:cs="宋体"/>
                <w:kern w:val="0"/>
                <w:sz w:val="24"/>
                <w:szCs w:val="24"/>
              </w:rPr>
              <w:t>208.66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blCellSpacing w:w="0" w:type="dxa"/>
          <w:jc w:val="center"/>
        </w:trPr>
        <w:tc>
          <w:tcPr>
            <w:tcW w:w="4005" w:type="dxa"/>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3</w:t>
            </w:r>
            <w:r>
              <w:rPr>
                <w:rFonts w:hint="eastAsia" w:ascii="仿宋_GB2312" w:eastAsia="仿宋_GB2312" w:cs="宋体"/>
                <w:kern w:val="0"/>
                <w:sz w:val="28"/>
                <w:szCs w:val="28"/>
              </w:rPr>
              <w:t>、单价在</w:t>
            </w:r>
            <w:r>
              <w:rPr>
                <w:rFonts w:ascii="仿宋_GB2312" w:eastAsia="仿宋_GB2312" w:cs="宋体"/>
                <w:kern w:val="0"/>
                <w:sz w:val="28"/>
                <w:szCs w:val="28"/>
              </w:rPr>
              <w:t>50</w:t>
            </w:r>
            <w:r>
              <w:rPr>
                <w:rFonts w:hint="eastAsia" w:ascii="仿宋_GB2312" w:eastAsia="仿宋_GB2312" w:cs="宋体"/>
                <w:kern w:val="0"/>
                <w:sz w:val="28"/>
                <w:szCs w:val="28"/>
              </w:rPr>
              <w:t>万元以上的设备</w:t>
            </w:r>
          </w:p>
        </w:tc>
        <w:tc>
          <w:tcPr>
            <w:tcW w:w="2565" w:type="dxa"/>
            <w:vAlign w:val="center"/>
          </w:tcPr>
          <w:p>
            <w:pPr>
              <w:widowControl/>
              <w:spacing w:line="570" w:lineRule="exact"/>
              <w:jc w:val="center"/>
              <w:rPr>
                <w:rFonts w:ascii="仿宋_GB2312" w:eastAsia="仿宋_GB2312" w:cs="宋体"/>
                <w:kern w:val="0"/>
                <w:sz w:val="28"/>
                <w:szCs w:val="28"/>
              </w:rPr>
            </w:pPr>
          </w:p>
        </w:tc>
        <w:tc>
          <w:tcPr>
            <w:tcW w:w="3770" w:type="dxa"/>
            <w:vAlign w:val="center"/>
          </w:tcPr>
          <w:p>
            <w:pPr>
              <w:widowControl/>
              <w:spacing w:line="570" w:lineRule="exact"/>
              <w:jc w:val="center"/>
              <w:rPr>
                <w:rFonts w:ascii="仿宋_GB2312"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blCellSpacing w:w="0" w:type="dxa"/>
          <w:jc w:val="center"/>
        </w:trPr>
        <w:tc>
          <w:tcPr>
            <w:tcW w:w="4005" w:type="dxa"/>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4</w:t>
            </w:r>
            <w:r>
              <w:rPr>
                <w:rFonts w:hint="eastAsia" w:ascii="仿宋_GB2312" w:eastAsia="仿宋_GB2312" w:cs="宋体"/>
                <w:kern w:val="0"/>
                <w:sz w:val="28"/>
                <w:szCs w:val="28"/>
              </w:rPr>
              <w:t>、其他固定资产</w:t>
            </w:r>
          </w:p>
        </w:tc>
        <w:tc>
          <w:tcPr>
            <w:tcW w:w="2565" w:type="dxa"/>
            <w:vAlign w:val="center"/>
          </w:tcPr>
          <w:p>
            <w:pPr>
              <w:widowControl/>
              <w:spacing w:line="570" w:lineRule="exact"/>
              <w:jc w:val="center"/>
              <w:rPr>
                <w:rFonts w:ascii="宋体" w:hAnsi="宋体" w:eastAsia="仿宋_GB2312" w:cs="宋体"/>
                <w:kern w:val="0"/>
                <w:sz w:val="28"/>
                <w:szCs w:val="28"/>
              </w:rPr>
            </w:pPr>
          </w:p>
        </w:tc>
        <w:tc>
          <w:tcPr>
            <w:tcW w:w="3770" w:type="dxa"/>
            <w:vAlign w:val="center"/>
          </w:tcPr>
          <w:p>
            <w:pPr>
              <w:widowControl/>
              <w:spacing w:line="570" w:lineRule="exact"/>
              <w:jc w:val="center"/>
              <w:rPr>
                <w:rFonts w:ascii="仿宋_GB2312" w:eastAsia="仿宋_GB2312" w:cs="宋体"/>
                <w:kern w:val="0"/>
                <w:sz w:val="28"/>
                <w:szCs w:val="28"/>
              </w:rPr>
            </w:pPr>
            <w:r>
              <w:rPr>
                <w:rFonts w:ascii="宋体" w:cs="宋体"/>
                <w:kern w:val="0"/>
                <w:sz w:val="24"/>
                <w:szCs w:val="24"/>
              </w:rPr>
              <w:t>2013.09</w:t>
            </w:r>
          </w:p>
        </w:tc>
      </w:tr>
    </w:tbl>
    <w:p>
      <w:pPr>
        <w:widowControl/>
        <w:spacing w:line="570" w:lineRule="exact"/>
        <w:ind w:left="160" w:hanging="160" w:hangingChars="50"/>
        <w:jc w:val="left"/>
        <w:rPr>
          <w:rFonts w:ascii="仿宋_GB2312" w:eastAsia="仿宋_GB2312" w:cs="宋体"/>
          <w:color w:val="000000"/>
          <w:kern w:val="0"/>
          <w:sz w:val="32"/>
          <w:szCs w:val="32"/>
        </w:rPr>
      </w:pPr>
    </w:p>
    <w:p>
      <w:pPr>
        <w:pStyle w:val="7"/>
        <w:spacing w:line="570" w:lineRule="exact"/>
        <w:rPr>
          <w:rFonts w:ascii="仿宋_GB2312" w:eastAsia="仿宋_GB2312"/>
          <w:b/>
          <w:bCs/>
          <w:sz w:val="32"/>
          <w:szCs w:val="32"/>
        </w:rPr>
      </w:pPr>
      <w:r>
        <w:rPr>
          <w:rFonts w:hint="eastAsia" w:ascii="黑体" w:eastAsia="黑体" w:cs="宋体"/>
          <w:b/>
          <w:bCs/>
          <w:sz w:val="32"/>
          <w:szCs w:val="32"/>
        </w:rPr>
        <w:t>八、名词解释</w:t>
      </w:r>
      <w:r>
        <w:rPr>
          <w:rFonts w:ascii="黑体" w:eastAsia="黑体" w:cs="宋体"/>
          <w:sz w:val="32"/>
          <w:szCs w:val="32"/>
        </w:rPr>
        <w:br w:type="textWrapping"/>
      </w:r>
      <w:r>
        <w:rPr>
          <w:rFonts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spacing w:line="570" w:lineRule="exact"/>
        <w:rPr>
          <w:rFonts w:ascii="仿宋_GB2312" w:eastAsia="仿宋_GB2312" w:cs="FZFangSong-Z02"/>
          <w:sz w:val="32"/>
          <w:szCs w:val="32"/>
        </w:rPr>
      </w:pPr>
      <w:r>
        <w:rPr>
          <w:rFonts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spacing w:line="570" w:lineRule="exact"/>
        <w:rPr>
          <w:rFonts w:ascii="仿宋_GB2312" w:eastAsia="仿宋_GB2312" w:cs="FZFangSong-Z02"/>
          <w:sz w:val="32"/>
          <w:szCs w:val="32"/>
        </w:rPr>
      </w:pPr>
      <w:r>
        <w:rPr>
          <w:rFonts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spacing w:line="570" w:lineRule="exact"/>
        <w:rPr>
          <w:rFonts w:ascii="仿宋_GB2312" w:eastAsia="仿宋_GB2312" w:cs="FZFangSong-Z02"/>
          <w:sz w:val="32"/>
          <w:szCs w:val="32"/>
        </w:rPr>
      </w:pPr>
      <w:r>
        <w:rPr>
          <w:rFonts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spacing w:line="570" w:lineRule="exact"/>
        <w:rPr>
          <w:rFonts w:ascii="仿宋_GB2312" w:eastAsia="仿宋_GB2312"/>
          <w:sz w:val="32"/>
          <w:szCs w:val="32"/>
        </w:rPr>
      </w:pPr>
      <w:r>
        <w:rPr>
          <w:rFonts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spacing w:line="570" w:lineRule="exact"/>
        <w:rPr>
          <w:rFonts w:ascii="仿宋_GB2312" w:eastAsia="仿宋_GB2312"/>
          <w:sz w:val="32"/>
          <w:szCs w:val="32"/>
        </w:rPr>
      </w:pPr>
      <w:r>
        <w:rPr>
          <w:rFonts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spacing w:line="570" w:lineRule="exact"/>
        <w:rPr>
          <w:rFonts w:ascii="仿宋_GB2312" w:eastAsia="仿宋_GB2312" w:cs="FZFangSong-Z02"/>
          <w:sz w:val="32"/>
          <w:szCs w:val="32"/>
        </w:rPr>
      </w:pPr>
      <w:r>
        <w:rPr>
          <w:rFonts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0" w:lineRule="exact"/>
        <w:rPr>
          <w:rFonts w:ascii="仿宋_GB2312" w:eastAsia="仿宋_GB2312" w:cs="FZFangSong-Z02"/>
          <w:sz w:val="32"/>
          <w:szCs w:val="32"/>
        </w:rPr>
      </w:pPr>
      <w:r>
        <w:rPr>
          <w:rFonts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570" w:lineRule="exact"/>
        <w:ind w:left="643" w:hanging="643" w:hangingChars="200"/>
        <w:jc w:val="left"/>
        <w:rPr>
          <w:rFonts w:ascii="宋体" w:hAnsi="宋体" w:eastAsia="仿宋_GB2312" w:cs="宋体"/>
          <w:color w:val="000000"/>
          <w:kern w:val="0"/>
          <w:sz w:val="32"/>
          <w:szCs w:val="32"/>
        </w:rPr>
      </w:pPr>
      <w:r>
        <w:rPr>
          <w:rFonts w:hint="eastAsia" w:ascii="黑体" w:eastAsia="黑体" w:cs="宋体"/>
          <w:b/>
          <w:bCs/>
          <w:color w:val="000000"/>
          <w:kern w:val="0"/>
          <w:sz w:val="32"/>
          <w:szCs w:val="32"/>
        </w:rPr>
        <w:t>九、其</w:t>
      </w:r>
      <w:r>
        <w:rPr>
          <w:rFonts w:hint="eastAsia" w:ascii="黑体" w:eastAsia="黑体" w:cs="宋体"/>
          <w:b/>
          <w:bCs/>
          <w:color w:val="000000"/>
          <w:kern w:val="0"/>
          <w:sz w:val="32"/>
          <w:szCs w:val="32"/>
          <w:lang w:eastAsia="zh-CN"/>
        </w:rPr>
        <w:t>他</w:t>
      </w:r>
      <w:r>
        <w:rPr>
          <w:rFonts w:hint="eastAsia" w:ascii="黑体" w:eastAsia="黑体" w:cs="宋体"/>
          <w:b/>
          <w:bCs/>
          <w:color w:val="000000"/>
          <w:kern w:val="0"/>
          <w:sz w:val="32"/>
          <w:szCs w:val="32"/>
        </w:rPr>
        <w:t>需要说明的事项</w:t>
      </w:r>
      <w:r>
        <w:rPr>
          <w:rFonts w:ascii="黑体" w:eastAsia="黑体" w:cs="宋体"/>
          <w:color w:val="000000"/>
          <w:kern w:val="0"/>
          <w:sz w:val="32"/>
          <w:szCs w:val="32"/>
        </w:rPr>
        <w:br w:type="textWrapping"/>
      </w:r>
      <w:r>
        <w:rPr>
          <w:rFonts w:hint="eastAsia" w:ascii="仿宋_GB2312" w:eastAsia="仿宋_GB2312" w:cs="宋体"/>
          <w:color w:val="000000"/>
          <w:kern w:val="0"/>
          <w:sz w:val="32"/>
          <w:szCs w:val="32"/>
        </w:rPr>
        <w:t>无其</w:t>
      </w:r>
      <w:r>
        <w:rPr>
          <w:rFonts w:hint="eastAsia" w:ascii="仿宋_GB2312" w:eastAsia="仿宋_GB2312" w:cs="宋体"/>
          <w:color w:val="000000"/>
          <w:kern w:val="0"/>
          <w:sz w:val="32"/>
          <w:szCs w:val="32"/>
          <w:lang w:eastAsia="zh-CN"/>
        </w:rPr>
        <w:t>他</w:t>
      </w:r>
      <w:r>
        <w:rPr>
          <w:rFonts w:hint="eastAsia" w:ascii="仿宋_GB2312" w:eastAsia="仿宋_GB2312" w:cs="宋体"/>
          <w:color w:val="000000"/>
          <w:kern w:val="0"/>
          <w:sz w:val="32"/>
          <w:szCs w:val="32"/>
        </w:rPr>
        <w:t>需要说明的事项。</w:t>
      </w:r>
      <w:r>
        <w:rPr>
          <w:rFonts w:ascii="仿宋_GB2312" w:eastAsia="仿宋_GB2312" w:cs="宋体"/>
          <w:color w:val="000000"/>
          <w:kern w:val="0"/>
          <w:sz w:val="32"/>
          <w:szCs w:val="32"/>
        </w:rPr>
        <w:br w:type="textWrapping"/>
      </w:r>
      <w:r>
        <w:rPr>
          <w:rFonts w:ascii="宋体" w:hAnsi="宋体" w:eastAsia="仿宋_GB2312" w:cs="宋体"/>
          <w:color w:val="000000"/>
          <w:kern w:val="0"/>
          <w:sz w:val="32"/>
          <w:szCs w:val="32"/>
        </w:rPr>
        <w:t> </w:t>
      </w:r>
    </w:p>
    <w:p>
      <w:pPr>
        <w:spacing w:line="570" w:lineRule="exact"/>
        <w:rPr>
          <w:rFonts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FZFangSong-Z02">
    <w:altName w:val="Arial"/>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C776E"/>
    <w:multiLevelType w:val="singleLevel"/>
    <w:tmpl w:val="952C776E"/>
    <w:lvl w:ilvl="0" w:tentative="0">
      <w:start w:val="6"/>
      <w:numFmt w:val="decimal"/>
      <w:suff w:val="nothing"/>
      <w:lvlText w:val="%1、"/>
      <w:lvlJc w:val="left"/>
      <w:pPr>
        <w:tabs>
          <w:tab w:val="left" w:pos="0"/>
        </w:tabs>
        <w:ind w:left="0" w:firstLine="0"/>
      </w:pPr>
      <w:rPr>
        <w:rFonts w:cs="Times New Roman"/>
      </w:rPr>
    </w:lvl>
  </w:abstractNum>
  <w:abstractNum w:abstractNumId="1">
    <w:nsid w:val="A99F1066"/>
    <w:multiLevelType w:val="singleLevel"/>
    <w:tmpl w:val="A99F1066"/>
    <w:lvl w:ilvl="0" w:tentative="0">
      <w:start w:val="1"/>
      <w:numFmt w:val="decimal"/>
      <w:suff w:val="nothing"/>
      <w:lvlText w:val="%1、"/>
      <w:lvlJc w:val="left"/>
      <w:pPr>
        <w:tabs>
          <w:tab w:val="left" w:pos="0"/>
        </w:tabs>
        <w:ind w:left="0" w:firstLine="0"/>
      </w:pPr>
      <w:rPr>
        <w:rFonts w:cs="Times New Roman"/>
      </w:rPr>
    </w:lvl>
  </w:abstractNum>
  <w:abstractNum w:abstractNumId="2">
    <w:nsid w:val="AFBA1474"/>
    <w:multiLevelType w:val="multilevel"/>
    <w:tmpl w:val="AFBA1474"/>
    <w:lvl w:ilvl="0" w:tentative="0">
      <w:start w:val="1"/>
      <w:numFmt w:val="chineseCountingThousand"/>
      <w:lvlText w:val="%1、"/>
      <w:lvlJc w:val="left"/>
      <w:pPr>
        <w:tabs>
          <w:tab w:val="left" w:pos="0"/>
        </w:tabs>
        <w:ind w:left="647" w:hanging="647"/>
      </w:pPr>
      <w:rPr>
        <w:rFonts w:hint="default" w:ascii="黑体" w:hAnsi="黑体" w:eastAsia="黑体" w:cs="Times New Roman"/>
      </w:rPr>
    </w:lvl>
    <w:lvl w:ilvl="1" w:tentative="0">
      <w:start w:val="1"/>
      <w:numFmt w:val="lowerLetter"/>
      <w:lvlText w:val="%2)"/>
      <w:lvlJc w:val="left"/>
      <w:pPr>
        <w:tabs>
          <w:tab w:val="left" w:pos="0"/>
        </w:tabs>
        <w:ind w:left="840" w:hanging="420"/>
      </w:pPr>
      <w:rPr>
        <w:rFonts w:cs="Times New Roman"/>
      </w:rPr>
    </w:lvl>
    <w:lvl w:ilvl="2" w:tentative="0">
      <w:start w:val="1"/>
      <w:numFmt w:val="lowerRoman"/>
      <w:lvlText w:val="%3."/>
      <w:lvlJc w:val="right"/>
      <w:pPr>
        <w:tabs>
          <w:tab w:val="left" w:pos="0"/>
        </w:tabs>
        <w:ind w:left="1260" w:hanging="420"/>
      </w:pPr>
      <w:rPr>
        <w:rFonts w:cs="Times New Roman"/>
      </w:rPr>
    </w:lvl>
    <w:lvl w:ilvl="3" w:tentative="0">
      <w:start w:val="1"/>
      <w:numFmt w:val="decimal"/>
      <w:lvlText w:val="%4."/>
      <w:lvlJc w:val="left"/>
      <w:pPr>
        <w:tabs>
          <w:tab w:val="left" w:pos="0"/>
        </w:tabs>
        <w:ind w:left="1680" w:hanging="420"/>
      </w:pPr>
      <w:rPr>
        <w:rFonts w:cs="Times New Roman"/>
      </w:rPr>
    </w:lvl>
    <w:lvl w:ilvl="4" w:tentative="0">
      <w:start w:val="1"/>
      <w:numFmt w:val="lowerLetter"/>
      <w:lvlText w:val="%5)"/>
      <w:lvlJc w:val="left"/>
      <w:pPr>
        <w:tabs>
          <w:tab w:val="left" w:pos="0"/>
        </w:tabs>
        <w:ind w:left="2100" w:hanging="420"/>
      </w:pPr>
      <w:rPr>
        <w:rFonts w:cs="Times New Roman"/>
      </w:rPr>
    </w:lvl>
    <w:lvl w:ilvl="5" w:tentative="0">
      <w:start w:val="1"/>
      <w:numFmt w:val="lowerRoman"/>
      <w:lvlText w:val="%6."/>
      <w:lvlJc w:val="right"/>
      <w:pPr>
        <w:tabs>
          <w:tab w:val="left" w:pos="0"/>
        </w:tabs>
        <w:ind w:left="2520" w:hanging="420"/>
      </w:pPr>
      <w:rPr>
        <w:rFonts w:cs="Times New Roman"/>
      </w:rPr>
    </w:lvl>
    <w:lvl w:ilvl="6" w:tentative="0">
      <w:start w:val="1"/>
      <w:numFmt w:val="decimal"/>
      <w:lvlText w:val="%7."/>
      <w:lvlJc w:val="left"/>
      <w:pPr>
        <w:tabs>
          <w:tab w:val="left" w:pos="0"/>
        </w:tabs>
        <w:ind w:left="2940" w:hanging="420"/>
      </w:pPr>
      <w:rPr>
        <w:rFonts w:cs="Times New Roman"/>
      </w:rPr>
    </w:lvl>
    <w:lvl w:ilvl="7" w:tentative="0">
      <w:start w:val="1"/>
      <w:numFmt w:val="lowerLetter"/>
      <w:lvlText w:val="%8)"/>
      <w:lvlJc w:val="left"/>
      <w:pPr>
        <w:tabs>
          <w:tab w:val="left" w:pos="0"/>
        </w:tabs>
        <w:ind w:left="3360" w:hanging="420"/>
      </w:pPr>
      <w:rPr>
        <w:rFonts w:cs="Times New Roman"/>
      </w:rPr>
    </w:lvl>
    <w:lvl w:ilvl="8" w:tentative="0">
      <w:start w:val="1"/>
      <w:numFmt w:val="lowerRoman"/>
      <w:lvlText w:val="%9."/>
      <w:lvlJc w:val="right"/>
      <w:pPr>
        <w:tabs>
          <w:tab w:val="left" w:pos="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0EA04D1"/>
    <w:rsid w:val="3EC50F23"/>
    <w:rsid w:val="461E319A"/>
    <w:rsid w:val="47046832"/>
    <w:rsid w:val="618A1F4A"/>
    <w:rsid w:val="63C332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rFonts w:cs="Times New Roman"/>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24</Pages>
  <Words>5829</Words>
  <Characters>6584</Characters>
  <Lines>899</Lines>
  <Paragraphs>339</Paragraphs>
  <TotalTime>0</TotalTime>
  <ScaleCrop>false</ScaleCrop>
  <LinksUpToDate>false</LinksUpToDate>
  <CharactersWithSpaces>6732</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2017-10-27T09:23:00Z</dcterms:created>
  <dc:creator>lenovo</dc:creator>
  <cp:lastModifiedBy>111</cp:lastModifiedBy>
  <dcterms:modified xsi:type="dcterms:W3CDTF">2024-07-22T07:40:06Z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AC73E7E8DAD84801A4D5D54D1AF2A121</vt:lpwstr>
  </property>
</Properties>
</file>