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廊坊市广阳区商务局201</w:t>
      </w:r>
      <w:r>
        <w:rPr>
          <w:rFonts w:ascii="方正小标宋简体" w:eastAsia="方正小标宋简体" w:cs="Times New Roman"/>
          <w:sz w:val="44"/>
          <w:szCs w:val="44"/>
        </w:rPr>
        <w:t>8</w:t>
      </w:r>
      <w:r>
        <w:rPr>
          <w:rFonts w:hint="eastAsia" w:ascii="方正小标宋简体" w:eastAsia="方正小标宋简体" w:cs="Times New Roman"/>
          <w:sz w:val="44"/>
          <w:szCs w:val="44"/>
        </w:rPr>
        <w:t>年部门预算信息公开</w:t>
      </w:r>
    </w:p>
    <w:p>
      <w:pPr>
        <w:spacing w:line="57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按照《</w:t>
      </w:r>
      <w:r>
        <w:rPr>
          <w:rFonts w:hint="eastAsia" w:ascii="仿宋_GB2312" w:eastAsia="仿宋_GB2312" w:cs="Times New Roman"/>
          <w:sz w:val="32"/>
          <w:szCs w:val="32"/>
          <w:lang w:eastAsia="zh-CN"/>
        </w:rPr>
        <w:t>中华人民共和国</w:t>
      </w:r>
      <w:bookmarkStart w:id="2" w:name="_GoBack"/>
      <w:bookmarkEnd w:id="2"/>
      <w:r>
        <w:rPr>
          <w:rFonts w:hint="eastAsia" w:ascii="仿宋_GB2312" w:eastAsia="仿宋_GB2312" w:cs="Times New Roman"/>
          <w:sz w:val="32"/>
          <w:szCs w:val="32"/>
        </w:rPr>
        <w:t>预算法》、《地方预决算公开操作规程》和《河北省省级预算公开办法》规定，现将廊坊市广阳区商务局201</w:t>
      </w:r>
      <w:r>
        <w:rPr>
          <w:rFonts w:ascii="仿宋_GB2312" w:eastAsia="仿宋_GB2312" w:cs="Times New Roman"/>
          <w:sz w:val="32"/>
          <w:szCs w:val="32"/>
        </w:rPr>
        <w:t>8</w:t>
      </w:r>
      <w:r>
        <w:rPr>
          <w:rFonts w:hint="eastAsia" w:ascii="仿宋_GB2312" w:eastAsia="仿宋_GB2312" w:cs="Times New Roman"/>
          <w:sz w:val="32"/>
          <w:szCs w:val="32"/>
        </w:rPr>
        <w:t>年部门预算公开如下：</w:t>
      </w:r>
    </w:p>
    <w:p>
      <w:pPr>
        <w:spacing w:line="570" w:lineRule="exact"/>
        <w:ind w:firstLine="640"/>
        <w:rPr>
          <w:rFonts w:ascii="黑体" w:eastAsia="黑体" w:cs="Times New Roman"/>
          <w:sz w:val="32"/>
          <w:szCs w:val="32"/>
        </w:rPr>
      </w:pPr>
      <w:r>
        <w:rPr>
          <w:rFonts w:hint="eastAsia" w:ascii="黑体" w:eastAsia="黑体" w:cs="Times New Roman"/>
          <w:sz w:val="32"/>
          <w:szCs w:val="32"/>
        </w:rPr>
        <w:t>一、部门职责及机构设置情况</w:t>
      </w:r>
    </w:p>
    <w:p>
      <w:pPr>
        <w:spacing w:line="570" w:lineRule="exact"/>
        <w:ind w:firstLine="643" w:firstLineChars="200"/>
        <w:rPr>
          <w:rFonts w:ascii="仿宋_GB2312" w:eastAsia="仿宋_GB2312" w:cs="Times New Roman"/>
          <w:sz w:val="32"/>
          <w:szCs w:val="32"/>
        </w:rPr>
      </w:pPr>
      <w:r>
        <w:rPr>
          <w:rFonts w:hint="eastAsia" w:ascii="仿宋_GB2312" w:eastAsia="仿宋_GB2312" w:cs="Times New Roman"/>
          <w:b/>
          <w:bCs/>
          <w:sz w:val="32"/>
          <w:szCs w:val="32"/>
        </w:rPr>
        <w:t>部门职责：</w:t>
      </w:r>
      <w:r>
        <w:rPr>
          <w:rFonts w:hint="eastAsia" w:ascii="仿宋_GB2312" w:eastAsia="仿宋_GB2312" w:cs="Times New Roman"/>
          <w:sz w:val="32"/>
          <w:szCs w:val="32"/>
        </w:rPr>
        <w:t>主管全区国内外贸易和国际合作、整顿和规范市场经济秩序的政府工作部门。负责搞好市场运行监测，整顿和规范流通秩序，深化流通体制改革。承担组织实施重要农产品进出口计划、内贸管理、对外经济协调和组织实话重要工业品、原材料进出口计划的职能，承担对外开放、招商引资，对外经济技术合作的职能。</w:t>
      </w:r>
    </w:p>
    <w:p>
      <w:pPr>
        <w:autoSpaceDE w:val="0"/>
        <w:autoSpaceDN w:val="0"/>
        <w:adjustRightInd w:val="0"/>
        <w:spacing w:line="57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机构设置：</w:t>
      </w:r>
    </w:p>
    <w:p>
      <w:pPr>
        <w:spacing w:line="570" w:lineRule="exact"/>
        <w:jc w:val="center"/>
        <w:outlineLvl w:val="0"/>
        <w:rPr>
          <w:rFonts w:ascii="Times New Roman" w:hAnsi="Times New Roman"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5"/>
        <w:tblpPr w:leftFromText="180" w:rightFromText="180" w:vertAnchor="text" w:horzAnchor="page" w:tblpX="1918" w:tblpY="362"/>
        <w:tblW w:w="132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3"/>
        <w:gridCol w:w="1167"/>
        <w:gridCol w:w="1739"/>
        <w:gridCol w:w="5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trPr>
        <w:tc>
          <w:tcPr>
            <w:tcW w:w="4573" w:type="dxa"/>
            <w:vMerge w:val="restart"/>
            <w:shd w:val="clear" w:color="auto" w:fill="auto"/>
            <w:vAlign w:val="center"/>
          </w:tcPr>
          <w:p>
            <w:pPr>
              <w:spacing w:line="570" w:lineRule="exact"/>
              <w:jc w:val="center"/>
              <w:rPr>
                <w:rFonts w:ascii="仿宋_GB2312" w:eastAsia="仿宋_GB2312" w:cs="Times New Roman"/>
                <w:b/>
                <w:sz w:val="32"/>
                <w:szCs w:val="32"/>
              </w:rPr>
            </w:pPr>
            <w:r>
              <w:rPr>
                <w:rFonts w:hint="eastAsia" w:ascii="仿宋_GB2312" w:eastAsia="仿宋_GB2312" w:cs="Times New Roman"/>
                <w:b/>
                <w:sz w:val="32"/>
                <w:szCs w:val="32"/>
              </w:rPr>
              <w:t>单位名称</w:t>
            </w:r>
          </w:p>
        </w:tc>
        <w:tc>
          <w:tcPr>
            <w:tcW w:w="1167" w:type="dxa"/>
            <w:vMerge w:val="restart"/>
            <w:shd w:val="clear" w:color="auto" w:fill="auto"/>
            <w:vAlign w:val="center"/>
          </w:tcPr>
          <w:p>
            <w:pPr>
              <w:spacing w:line="570" w:lineRule="exact"/>
              <w:jc w:val="center"/>
              <w:rPr>
                <w:rFonts w:ascii="仿宋_GB2312" w:eastAsia="仿宋_GB2312" w:cs="Times New Roman"/>
                <w:b/>
                <w:sz w:val="32"/>
                <w:szCs w:val="32"/>
              </w:rPr>
            </w:pPr>
            <w:r>
              <w:rPr>
                <w:rFonts w:hint="eastAsia" w:ascii="仿宋_GB2312" w:eastAsia="仿宋_GB2312" w:cs="Times New Roman"/>
                <w:b/>
                <w:sz w:val="32"/>
                <w:szCs w:val="32"/>
              </w:rPr>
              <w:t>单位性质</w:t>
            </w:r>
          </w:p>
        </w:tc>
        <w:tc>
          <w:tcPr>
            <w:tcW w:w="1739" w:type="dxa"/>
            <w:vMerge w:val="restart"/>
            <w:shd w:val="clear" w:color="auto" w:fill="auto"/>
            <w:vAlign w:val="center"/>
          </w:tcPr>
          <w:p>
            <w:pPr>
              <w:spacing w:line="570" w:lineRule="exact"/>
              <w:jc w:val="center"/>
              <w:rPr>
                <w:rFonts w:ascii="仿宋_GB2312" w:eastAsia="仿宋_GB2312" w:cs="Times New Roman"/>
                <w:b/>
                <w:sz w:val="32"/>
                <w:szCs w:val="32"/>
              </w:rPr>
            </w:pPr>
            <w:r>
              <w:rPr>
                <w:rFonts w:hint="eastAsia" w:ascii="仿宋_GB2312" w:eastAsia="仿宋_GB2312" w:cs="Times New Roman"/>
                <w:b/>
                <w:sz w:val="32"/>
                <w:szCs w:val="32"/>
              </w:rPr>
              <w:t>单位规格</w:t>
            </w:r>
          </w:p>
        </w:tc>
        <w:tc>
          <w:tcPr>
            <w:tcW w:w="5763" w:type="dxa"/>
            <w:vMerge w:val="restart"/>
            <w:shd w:val="clear" w:color="auto" w:fill="auto"/>
            <w:vAlign w:val="center"/>
          </w:tcPr>
          <w:p>
            <w:pPr>
              <w:spacing w:line="570" w:lineRule="exact"/>
              <w:jc w:val="center"/>
              <w:rPr>
                <w:rFonts w:ascii="仿宋_GB2312" w:eastAsia="仿宋_GB2312" w:cs="Times New Roman"/>
                <w:b/>
                <w:sz w:val="32"/>
                <w:szCs w:val="32"/>
              </w:rPr>
            </w:pPr>
            <w:r>
              <w:rPr>
                <w:rFonts w:hint="eastAsia" w:ascii="仿宋_GB2312"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trPr>
        <w:tc>
          <w:tcPr>
            <w:tcW w:w="4573" w:type="dxa"/>
            <w:vMerge w:val="continue"/>
            <w:shd w:val="clear" w:color="auto" w:fill="auto"/>
            <w:vAlign w:val="center"/>
          </w:tcPr>
          <w:p/>
        </w:tc>
        <w:tc>
          <w:tcPr>
            <w:tcW w:w="1167" w:type="dxa"/>
            <w:vMerge w:val="continue"/>
            <w:shd w:val="clear" w:color="auto" w:fill="auto"/>
            <w:vAlign w:val="center"/>
          </w:tcPr>
          <w:p/>
        </w:tc>
        <w:tc>
          <w:tcPr>
            <w:tcW w:w="1739" w:type="dxa"/>
            <w:vMerge w:val="continue"/>
            <w:shd w:val="clear" w:color="auto" w:fill="auto"/>
            <w:vAlign w:val="center"/>
          </w:tcPr>
          <w:p/>
        </w:tc>
        <w:tc>
          <w:tcPr>
            <w:tcW w:w="576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rPr>
        <w:tc>
          <w:tcPr>
            <w:tcW w:w="4573" w:type="dxa"/>
            <w:shd w:val="clear" w:color="auto" w:fill="auto"/>
            <w:vAlign w:val="center"/>
          </w:tcPr>
          <w:p>
            <w:pPr>
              <w:spacing w:line="57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廊坊市广阳区商务局</w:t>
            </w:r>
          </w:p>
        </w:tc>
        <w:tc>
          <w:tcPr>
            <w:tcW w:w="1167" w:type="dxa"/>
            <w:shd w:val="clear" w:color="auto" w:fill="auto"/>
            <w:vAlign w:val="center"/>
          </w:tcPr>
          <w:p>
            <w:pPr>
              <w:spacing w:line="570" w:lineRule="exact"/>
              <w:jc w:val="left"/>
              <w:rPr>
                <w:rFonts w:ascii="仿宋_GB2312" w:eastAsia="仿宋_GB2312" w:cs="Times New Roman"/>
                <w:sz w:val="32"/>
                <w:szCs w:val="32"/>
              </w:rPr>
            </w:pPr>
            <w:r>
              <w:rPr>
                <w:rFonts w:hint="eastAsia" w:ascii="仿宋_GB2312" w:eastAsia="仿宋_GB2312" w:cs="Times New Roman"/>
                <w:sz w:val="32"/>
                <w:szCs w:val="32"/>
              </w:rPr>
              <w:t>行政机关</w:t>
            </w:r>
          </w:p>
        </w:tc>
        <w:tc>
          <w:tcPr>
            <w:tcW w:w="1739" w:type="dxa"/>
            <w:shd w:val="clear" w:color="auto" w:fill="auto"/>
            <w:vAlign w:val="center"/>
          </w:tcPr>
          <w:p>
            <w:pPr>
              <w:spacing w:line="570" w:lineRule="exact"/>
              <w:ind w:firstLine="320" w:firstLineChars="100"/>
              <w:jc w:val="left"/>
              <w:rPr>
                <w:rFonts w:ascii="仿宋_GB2312" w:eastAsia="仿宋_GB2312" w:cs="Times New Roman"/>
                <w:sz w:val="32"/>
                <w:szCs w:val="32"/>
              </w:rPr>
            </w:pPr>
            <w:r>
              <w:rPr>
                <w:rFonts w:hint="eastAsia" w:ascii="仿宋_GB2312" w:eastAsia="仿宋_GB2312" w:cs="Times New Roman"/>
                <w:sz w:val="32"/>
                <w:szCs w:val="32"/>
              </w:rPr>
              <w:t>正科级</w:t>
            </w:r>
          </w:p>
        </w:tc>
        <w:tc>
          <w:tcPr>
            <w:tcW w:w="5763" w:type="dxa"/>
            <w:shd w:val="clear" w:color="auto" w:fill="auto"/>
            <w:vAlign w:val="center"/>
          </w:tcPr>
          <w:p>
            <w:pPr>
              <w:spacing w:line="570" w:lineRule="exact"/>
              <w:ind w:firstLine="2240" w:firstLineChars="700"/>
              <w:jc w:val="left"/>
              <w:rPr>
                <w:rFonts w:ascii="仿宋_GB2312" w:eastAsia="仿宋_GB2312" w:cs="Times New Roman"/>
                <w:sz w:val="32"/>
                <w:szCs w:val="32"/>
              </w:rPr>
            </w:pPr>
            <w:r>
              <w:rPr>
                <w:rFonts w:hint="eastAsia" w:ascii="仿宋_GB2312" w:eastAsia="仿宋_GB2312" w:cs="Times New Roman"/>
                <w:sz w:val="32"/>
                <w:szCs w:val="32"/>
              </w:rPr>
              <w:t>财政拨款</w:t>
            </w:r>
          </w:p>
        </w:tc>
      </w:tr>
    </w:tbl>
    <w:p>
      <w:pPr>
        <w:spacing w:line="570" w:lineRule="exact"/>
        <w:ind w:firstLine="640"/>
        <w:rPr>
          <w:rFonts w:ascii="黑体" w:eastAsia="黑体" w:cs="Times New Roman"/>
          <w:sz w:val="32"/>
          <w:szCs w:val="32"/>
        </w:rPr>
      </w:pPr>
      <w:r>
        <w:rPr>
          <w:rFonts w:hint="eastAsia" w:ascii="黑体" w:eastAsia="黑体" w:cs="Times New Roman"/>
          <w:sz w:val="32"/>
          <w:szCs w:val="32"/>
        </w:rPr>
        <w:t>二、部门预算安排的总体情况</w:t>
      </w:r>
    </w:p>
    <w:p>
      <w:pPr>
        <w:spacing w:line="570" w:lineRule="exact"/>
        <w:ind w:firstLine="640"/>
        <w:rPr>
          <w:rFonts w:ascii="仿宋_GB2312" w:eastAsia="仿宋_GB2312" w:cs="Times New Roman"/>
          <w:sz w:val="32"/>
          <w:szCs w:val="32"/>
        </w:rPr>
      </w:pPr>
      <w:r>
        <w:rPr>
          <w:rFonts w:hint="eastAsia" w:ascii="仿宋_GB2312" w:eastAsia="仿宋_GB2312" w:cs="Times New Roman"/>
          <w:sz w:val="32"/>
          <w:szCs w:val="32"/>
        </w:rPr>
        <w:t>按照预算管理有关规定，目前我省部门预算的编制实行综合预算制度，即全部收入和支出都反映在预算中。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Times New Roman"/>
          <w:sz w:val="32"/>
          <w:szCs w:val="32"/>
        </w:rPr>
        <w:t>广阳区商务局</w:t>
      </w:r>
      <w:r>
        <w:rPr>
          <w:rFonts w:hint="eastAsia" w:ascii="仿宋_GB2312" w:hAnsi="Times New Roman" w:eastAsia="仿宋_GB2312" w:cs="Times New Roman"/>
          <w:sz w:val="32"/>
          <w:szCs w:val="32"/>
        </w:rPr>
        <w:t>机关及所属事业单位的收支包含在部门预算中。</w:t>
      </w:r>
    </w:p>
    <w:p>
      <w:pPr>
        <w:spacing w:line="570" w:lineRule="exact"/>
        <w:ind w:firstLine="640"/>
        <w:rPr>
          <w:rFonts w:ascii="楷体_GB2312" w:eastAsia="楷体_GB2312" w:cs="Times New Roman"/>
          <w:b/>
          <w:sz w:val="32"/>
          <w:szCs w:val="32"/>
        </w:rPr>
      </w:pPr>
      <w:r>
        <w:rPr>
          <w:rFonts w:hint="eastAsia" w:ascii="楷体_GB2312" w:eastAsia="楷体_GB2312" w:cs="Times New Roman"/>
          <w:b/>
          <w:sz w:val="32"/>
          <w:szCs w:val="32"/>
        </w:rPr>
        <w:t>1、收入说明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Times New Roman"/>
          <w:sz w:val="32"/>
          <w:szCs w:val="32"/>
        </w:rPr>
        <w:t>反映本部门当年全部收入。201</w:t>
      </w:r>
      <w:r>
        <w:rPr>
          <w:rFonts w:ascii="仿宋_GB2312" w:eastAsia="仿宋_GB2312" w:cs="Times New Roman"/>
          <w:sz w:val="32"/>
          <w:szCs w:val="32"/>
        </w:rPr>
        <w:t>8</w:t>
      </w:r>
      <w:r>
        <w:rPr>
          <w:rFonts w:hint="eastAsia" w:ascii="仿宋_GB2312" w:eastAsia="仿宋_GB2312" w:cs="Times New Roman"/>
          <w:sz w:val="32"/>
          <w:szCs w:val="32"/>
        </w:rPr>
        <w:t>年预算收入938.93万元，其中：一般公共预算收入938.93万元</w:t>
      </w:r>
      <w:r>
        <w:rPr>
          <w:rFonts w:hint="eastAsia" w:ascii="仿宋_GB2312" w:eastAsia="仿宋_GB2312" w:cs="宋体"/>
          <w:color w:val="000000"/>
          <w:kern w:val="0"/>
          <w:sz w:val="32"/>
          <w:szCs w:val="32"/>
        </w:rPr>
        <w:t>基金预算收入0万元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财政专户核拨收入0万元，其他来源收入0万元。</w:t>
      </w:r>
    </w:p>
    <w:p>
      <w:pPr>
        <w:spacing w:line="570" w:lineRule="exact"/>
        <w:ind w:firstLine="640"/>
        <w:rPr>
          <w:rFonts w:ascii="楷体_GB2312" w:eastAsia="楷体_GB2312" w:cs="Times New Roman"/>
          <w:b/>
          <w:sz w:val="32"/>
          <w:szCs w:val="32"/>
        </w:rPr>
      </w:pPr>
      <w:r>
        <w:rPr>
          <w:rFonts w:hint="eastAsia" w:ascii="楷体_GB2312" w:eastAsia="楷体_GB2312" w:cs="Times New Roman"/>
          <w:b/>
          <w:sz w:val="32"/>
          <w:szCs w:val="32"/>
        </w:rPr>
        <w:t>2、支出说明</w:t>
      </w:r>
    </w:p>
    <w:p>
      <w:pPr>
        <w:spacing w:line="570" w:lineRule="exact"/>
        <w:ind w:firstLine="640"/>
        <w:rPr>
          <w:rFonts w:ascii="仿宋_GB2312" w:eastAsia="仿宋_GB2312" w:cs="Times New Roman"/>
          <w:sz w:val="32"/>
          <w:szCs w:val="32"/>
        </w:rPr>
      </w:pPr>
      <w:r>
        <w:rPr>
          <w:rFonts w:hint="eastAsia" w:ascii="仿宋_GB2312" w:eastAsia="仿宋_GB2312" w:cs="Times New Roman"/>
          <w:sz w:val="32"/>
          <w:szCs w:val="32"/>
        </w:rPr>
        <w:t>收支预算总表支出栏、基本支出表、项目支出表按经济分类和支出功能分类科目编制，反映河北省廊坊市广阳区商务局2018年度部门预算中支出预算的总体情况。201</w:t>
      </w:r>
      <w:r>
        <w:rPr>
          <w:rFonts w:ascii="仿宋_GB2312" w:eastAsia="仿宋_GB2312" w:cs="Times New Roman"/>
          <w:sz w:val="32"/>
          <w:szCs w:val="32"/>
        </w:rPr>
        <w:t>8</w:t>
      </w:r>
      <w:r>
        <w:rPr>
          <w:rFonts w:hint="eastAsia" w:ascii="仿宋_GB2312" w:eastAsia="仿宋_GB2312" w:cs="Times New Roman"/>
          <w:sz w:val="32"/>
          <w:szCs w:val="32"/>
        </w:rPr>
        <w:t>年支出预算938.93万元，其中基本支出643.82万元，包括人员经费608.72万元和日常公用经费35.1万元；项目支出295.11万元，包括本级支出，主要为援疆干部生活补贴4.37万元、未纳入财政人员经费138万元、招商引资经费10万元、第三砖厂拆除后人员经费22万元、商业、物资、二轻机关非财政退休人员待遇经费109万元、抚恤金11.74万元。</w:t>
      </w:r>
    </w:p>
    <w:p>
      <w:pPr>
        <w:spacing w:line="570" w:lineRule="exact"/>
        <w:ind w:firstLine="640"/>
        <w:rPr>
          <w:rFonts w:ascii="楷体_GB2312" w:eastAsia="楷体_GB2312" w:cs="Times New Roman"/>
          <w:b/>
          <w:sz w:val="32"/>
          <w:szCs w:val="32"/>
        </w:rPr>
      </w:pPr>
      <w:r>
        <w:rPr>
          <w:rFonts w:hint="eastAsia" w:ascii="楷体_GB2312" w:eastAsia="楷体_GB2312" w:cs="Times New Roman"/>
          <w:b/>
          <w:sz w:val="32"/>
          <w:szCs w:val="32"/>
        </w:rPr>
        <w:t>3、比上年增减情况</w:t>
      </w:r>
    </w:p>
    <w:p>
      <w:pPr>
        <w:spacing w:line="570" w:lineRule="exact"/>
        <w:ind w:firstLine="640"/>
        <w:rPr>
          <w:rFonts w:ascii="仿宋_GB2312" w:eastAsia="仿宋_GB2312" w:cs="Times New Roman"/>
          <w:sz w:val="32"/>
          <w:szCs w:val="32"/>
        </w:rPr>
      </w:pPr>
      <w:r>
        <w:rPr>
          <w:rFonts w:hint="eastAsia" w:ascii="仿宋_GB2312" w:eastAsia="仿宋_GB2312" w:cs="Times New Roman"/>
          <w:sz w:val="32"/>
          <w:szCs w:val="32"/>
        </w:rPr>
        <w:t>201</w:t>
      </w:r>
      <w:r>
        <w:rPr>
          <w:rFonts w:ascii="仿宋_GB2312" w:eastAsia="仿宋_GB2312" w:cs="Times New Roman"/>
          <w:sz w:val="32"/>
          <w:szCs w:val="32"/>
        </w:rPr>
        <w:t>8</w:t>
      </w:r>
      <w:r>
        <w:rPr>
          <w:rFonts w:hint="eastAsia" w:ascii="仿宋_GB2312" w:eastAsia="仿宋_GB2312" w:cs="Times New Roman"/>
          <w:sz w:val="32"/>
          <w:szCs w:val="32"/>
        </w:rPr>
        <w:t>年预算收支安排938.93万元，较201</w:t>
      </w:r>
      <w:r>
        <w:rPr>
          <w:rFonts w:ascii="仿宋_GB2312" w:eastAsia="仿宋_GB2312" w:cs="Times New Roman"/>
          <w:sz w:val="32"/>
          <w:szCs w:val="32"/>
        </w:rPr>
        <w:t>7</w:t>
      </w:r>
      <w:r>
        <w:rPr>
          <w:rFonts w:hint="eastAsia" w:ascii="仿宋_GB2312" w:eastAsia="仿宋_GB2312" w:cs="Times New Roman"/>
          <w:sz w:val="32"/>
          <w:szCs w:val="32"/>
        </w:rPr>
        <w:t>年预算增加36.41万元，其中：基本支出增加32.54万元，主要为增加人员经费支出；项目支出增加3.87万元，主要为援疆干部生活补贴经费项目支出。</w:t>
      </w:r>
    </w:p>
    <w:p>
      <w:pPr>
        <w:autoSpaceDE w:val="0"/>
        <w:autoSpaceDN w:val="0"/>
        <w:adjustRightInd w:val="0"/>
        <w:spacing w:line="570" w:lineRule="exact"/>
        <w:ind w:left="198" w:firstLine="640" w:firstLineChars="200"/>
        <w:jc w:val="left"/>
        <w:rPr>
          <w:rFonts w:ascii="黑体" w:eastAsia="黑体" w:cs="Times New Roman"/>
          <w:sz w:val="32"/>
          <w:szCs w:val="32"/>
        </w:rPr>
      </w:pPr>
      <w:r>
        <w:rPr>
          <w:rFonts w:hint="eastAsia" w:ascii="黑体" w:eastAsia="黑体" w:cs="Times New Roman"/>
          <w:sz w:val="32"/>
          <w:szCs w:val="32"/>
        </w:rPr>
        <w:t>三、机关运行经费安排情况</w:t>
      </w:r>
    </w:p>
    <w:p>
      <w:pPr>
        <w:autoSpaceDE w:val="0"/>
        <w:autoSpaceDN w:val="0"/>
        <w:adjustRightInd w:val="0"/>
        <w:spacing w:line="570" w:lineRule="exact"/>
        <w:ind w:left="198"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机关运行经费共计安排</w:t>
      </w:r>
      <w:r>
        <w:rPr>
          <w:rFonts w:hint="eastAsia" w:ascii="仿宋_GB2312" w:eastAsia="仿宋_GB2312" w:cs="Times New Roman"/>
          <w:sz w:val="32"/>
          <w:szCs w:val="32"/>
          <w:lang w:val="en-US" w:eastAsia="zh-CN"/>
        </w:rPr>
        <w:t>1.7</w:t>
      </w:r>
      <w:r>
        <w:rPr>
          <w:rFonts w:hint="eastAsia" w:ascii="仿宋_GB2312" w:eastAsia="仿宋_GB2312" w:cs="Times New Roman"/>
          <w:sz w:val="32"/>
          <w:szCs w:val="32"/>
        </w:rPr>
        <w:t>万元，其中办公经费1.7万元，其他业务费</w:t>
      </w:r>
      <w:r>
        <w:rPr>
          <w:rFonts w:ascii="仿宋_GB2312" w:eastAsia="仿宋_GB2312" w:cs="Times New Roman"/>
          <w:sz w:val="32"/>
          <w:szCs w:val="32"/>
        </w:rPr>
        <w:t>0</w:t>
      </w:r>
      <w:r>
        <w:rPr>
          <w:rFonts w:hint="eastAsia" w:ascii="仿宋_GB2312" w:eastAsia="仿宋_GB2312" w:cs="Times New Roman"/>
          <w:sz w:val="32"/>
          <w:szCs w:val="32"/>
        </w:rPr>
        <w:t>万元。主要用于机关办公日常办公费用及办公区的日常维修、办公用房水电费、办公用房取暖费、办公用房物业管理费等日常运行支出。</w:t>
      </w:r>
    </w:p>
    <w:p>
      <w:pPr>
        <w:autoSpaceDE w:val="0"/>
        <w:autoSpaceDN w:val="0"/>
        <w:adjustRightInd w:val="0"/>
        <w:spacing w:line="570" w:lineRule="exact"/>
        <w:ind w:left="198" w:firstLine="640" w:firstLineChars="200"/>
        <w:jc w:val="left"/>
        <w:rPr>
          <w:rFonts w:ascii="黑体" w:eastAsia="黑体" w:cs="Times New Roman"/>
          <w:sz w:val="32"/>
          <w:szCs w:val="32"/>
        </w:rPr>
      </w:pPr>
      <w:r>
        <w:rPr>
          <w:rFonts w:hint="eastAsia" w:ascii="黑体" w:eastAsia="黑体" w:cs="Times New Roman"/>
          <w:sz w:val="32"/>
          <w:szCs w:val="32"/>
        </w:rPr>
        <w:t>四、财政拨款</w:t>
      </w:r>
      <w:r>
        <w:rPr>
          <w:rFonts w:ascii="黑体" w:eastAsia="黑体" w:cs="Times New Roman"/>
          <w:sz w:val="32"/>
          <w:szCs w:val="32"/>
        </w:rPr>
        <w:t>“</w:t>
      </w:r>
      <w:r>
        <w:rPr>
          <w:rFonts w:hint="eastAsia" w:ascii="黑体" w:eastAsia="黑体" w:cs="Times New Roman"/>
          <w:sz w:val="32"/>
          <w:szCs w:val="32"/>
        </w:rPr>
        <w:t>三公</w:t>
      </w:r>
      <w:r>
        <w:rPr>
          <w:rFonts w:ascii="黑体" w:eastAsia="黑体" w:cs="Times New Roman"/>
          <w:sz w:val="32"/>
          <w:szCs w:val="32"/>
        </w:rPr>
        <w:t>”</w:t>
      </w:r>
      <w:r>
        <w:rPr>
          <w:rFonts w:hint="eastAsia" w:ascii="黑体" w:eastAsia="黑体" w:cs="Times New Roman"/>
          <w:sz w:val="32"/>
          <w:szCs w:val="32"/>
        </w:rPr>
        <w:t>经费预算情况及增减变化原因</w:t>
      </w:r>
    </w:p>
    <w:p>
      <w:pPr>
        <w:autoSpaceDE w:val="0"/>
        <w:autoSpaceDN w:val="0"/>
        <w:adjustRightInd w:val="0"/>
        <w:spacing w:line="570" w:lineRule="exact"/>
        <w:ind w:left="198" w:firstLine="640" w:firstLineChars="200"/>
        <w:jc w:val="left"/>
        <w:rPr>
          <w:rFonts w:ascii="仿宋_GB2312" w:eastAsia="仿宋_GB2312" w:cs="Times New Roman"/>
          <w:color w:val="FF0000"/>
          <w:sz w:val="32"/>
          <w:szCs w:val="32"/>
        </w:rPr>
      </w:pPr>
      <w:r>
        <w:rPr>
          <w:rFonts w:hint="eastAsia" w:ascii="仿宋_GB2312" w:eastAsia="仿宋_GB2312" w:cs="Times New Roman"/>
          <w:sz w:val="32"/>
          <w:szCs w:val="32"/>
        </w:rPr>
        <w:t>201</w:t>
      </w:r>
      <w:r>
        <w:rPr>
          <w:rFonts w:ascii="仿宋_GB2312" w:eastAsia="仿宋_GB2312" w:cs="Times New Roman"/>
          <w:sz w:val="32"/>
          <w:szCs w:val="32"/>
        </w:rPr>
        <w:t>8</w:t>
      </w:r>
      <w:r>
        <w:rPr>
          <w:rFonts w:hint="eastAsia" w:ascii="仿宋_GB2312" w:eastAsia="仿宋_GB2312" w:cs="Times New Roman"/>
          <w:sz w:val="32"/>
          <w:szCs w:val="32"/>
        </w:rPr>
        <w:t>年，我局“三公”经费预算安排2.3万元，其中因公出国（境）费0万元；公务用车购置及运维费2.3万元（其中：公务用车购置费为0元，公务用车运行费2.3万元)；公务接待费0万元。与201</w:t>
      </w:r>
      <w:r>
        <w:rPr>
          <w:rFonts w:ascii="仿宋_GB2312" w:eastAsia="仿宋_GB2312" w:cs="Times New Roman"/>
          <w:sz w:val="32"/>
          <w:szCs w:val="32"/>
        </w:rPr>
        <w:t>7</w:t>
      </w:r>
      <w:r>
        <w:rPr>
          <w:rFonts w:hint="eastAsia" w:ascii="仿宋_GB2312" w:eastAsia="仿宋_GB2312" w:cs="Times New Roman"/>
          <w:sz w:val="32"/>
          <w:szCs w:val="32"/>
        </w:rPr>
        <w:t>年增加2.3万元，主要原因是2017年未做预算安排。</w:t>
      </w:r>
    </w:p>
    <w:p>
      <w:pPr>
        <w:spacing w:line="570" w:lineRule="exact"/>
        <w:ind w:firstLine="640"/>
        <w:rPr>
          <w:rFonts w:ascii="黑体" w:eastAsia="黑体" w:cs="Times New Roman"/>
          <w:sz w:val="32"/>
          <w:szCs w:val="32"/>
        </w:rPr>
      </w:pPr>
      <w:r>
        <w:rPr>
          <w:rFonts w:hint="eastAsia" w:ascii="黑体" w:eastAsia="黑体" w:cs="Times New Roman"/>
          <w:sz w:val="32"/>
          <w:szCs w:val="32"/>
        </w:rPr>
        <w:t>五、绩效预算信息</w:t>
      </w:r>
    </w:p>
    <w:p>
      <w:pPr>
        <w:spacing w:line="570" w:lineRule="exact"/>
        <w:ind w:firstLine="643" w:firstLineChars="200"/>
        <w:jc w:val="left"/>
        <w:rPr>
          <w:rFonts w:ascii="楷体_GB2312" w:eastAsia="楷体_GB2312" w:cs="Times New Roman"/>
          <w:b/>
          <w:sz w:val="32"/>
          <w:szCs w:val="32"/>
        </w:rPr>
      </w:pPr>
      <w:bookmarkStart w:id="0" w:name="_Toc471398463"/>
      <w:r>
        <w:rPr>
          <w:rFonts w:hint="eastAsia" w:ascii="楷体_GB2312" w:eastAsia="楷体_GB2312" w:cs="Times New Roman"/>
          <w:b/>
          <w:sz w:val="32"/>
          <w:szCs w:val="32"/>
        </w:rPr>
        <w:t>总体绩效目标：</w:t>
      </w:r>
    </w:p>
    <w:p>
      <w:pPr>
        <w:spacing w:line="570" w:lineRule="exact"/>
        <w:ind w:firstLine="640" w:firstLineChars="200"/>
        <w:rPr>
          <w:rFonts w:ascii="仿宋_GB2312" w:eastAsia="仿宋_GB2312" w:cs="楷体"/>
          <w:bCs/>
          <w:sz w:val="32"/>
          <w:szCs w:val="32"/>
        </w:rPr>
      </w:pPr>
      <w:r>
        <w:rPr>
          <w:rFonts w:hint="eastAsia" w:ascii="仿宋_GB2312" w:eastAsia="仿宋_GB2312" w:cs="楷体"/>
          <w:bCs/>
          <w:sz w:val="32"/>
          <w:szCs w:val="32"/>
        </w:rPr>
        <w:t>一、突出效能，狠抓机关作风，强化队伍建设。</w:t>
      </w:r>
    </w:p>
    <w:p>
      <w:pPr>
        <w:spacing w:line="570" w:lineRule="exact"/>
        <w:ind w:firstLine="640" w:firstLineChars="200"/>
        <w:rPr>
          <w:rFonts w:ascii="仿宋_GB2312" w:eastAsia="仿宋_GB2312" w:cs="楷体"/>
          <w:sz w:val="32"/>
          <w:szCs w:val="32"/>
        </w:rPr>
      </w:pPr>
      <w:r>
        <w:rPr>
          <w:rFonts w:hint="eastAsia" w:ascii="仿宋_GB2312" w:eastAsia="仿宋_GB2312" w:cs="楷体"/>
          <w:color w:val="000000"/>
          <w:sz w:val="32"/>
          <w:szCs w:val="32"/>
        </w:rPr>
        <w:t>二、突出重点，推进招商引资，构建发展支撑。</w:t>
      </w:r>
    </w:p>
    <w:p>
      <w:pPr>
        <w:spacing w:line="570" w:lineRule="exact"/>
        <w:ind w:firstLine="640" w:firstLineChars="200"/>
        <w:rPr>
          <w:rFonts w:ascii="仿宋_GB2312" w:eastAsia="仿宋_GB2312" w:cs="楷体"/>
          <w:bCs/>
          <w:sz w:val="32"/>
          <w:szCs w:val="32"/>
        </w:rPr>
      </w:pPr>
      <w:r>
        <w:rPr>
          <w:rFonts w:hint="eastAsia" w:ascii="仿宋_GB2312" w:eastAsia="仿宋_GB2312" w:cs="楷体"/>
          <w:bCs/>
          <w:sz w:val="32"/>
          <w:szCs w:val="32"/>
        </w:rPr>
        <w:t>三、突出创新，探索发展方式，力推电子商务。</w:t>
      </w:r>
    </w:p>
    <w:p>
      <w:pPr>
        <w:spacing w:line="570" w:lineRule="exact"/>
        <w:ind w:firstLine="640" w:firstLineChars="200"/>
        <w:rPr>
          <w:rFonts w:ascii="仿宋_GB2312" w:eastAsia="仿宋_GB2312" w:cs="楷体"/>
          <w:bCs/>
          <w:sz w:val="32"/>
          <w:szCs w:val="32"/>
        </w:rPr>
      </w:pPr>
      <w:r>
        <w:rPr>
          <w:rFonts w:hint="eastAsia" w:ascii="仿宋_GB2312" w:eastAsia="仿宋_GB2312" w:cs="楷体"/>
          <w:bCs/>
          <w:sz w:val="32"/>
          <w:szCs w:val="32"/>
        </w:rPr>
        <w:t>四、加强监管，稳步推进大气污染防治。</w:t>
      </w:r>
    </w:p>
    <w:p>
      <w:pPr>
        <w:spacing w:line="570" w:lineRule="exact"/>
        <w:ind w:firstLine="643" w:firstLineChars="200"/>
        <w:rPr>
          <w:rFonts w:ascii="楷体_GB2312" w:eastAsia="楷体_GB2312" w:cs="仿宋_GB2312"/>
          <w:b/>
          <w:sz w:val="32"/>
          <w:szCs w:val="32"/>
        </w:rPr>
      </w:pPr>
      <w:r>
        <w:rPr>
          <w:rFonts w:hint="eastAsia" w:ascii="楷体_GB2312" w:eastAsia="楷体_GB2312" w:cs="仿宋_GB2312"/>
          <w:b/>
          <w:sz w:val="32"/>
          <w:szCs w:val="32"/>
        </w:rPr>
        <w:t>职责分类绩效目标：</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一、对内贸易管理</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主要任务是市场运行分析监测、分析辖区生活必需品商品供求状况，负责市场预测、并提出市场运行及调控政策建议，为商务部监测体系提供监测数据；为区委、区政府决策提供意见建议。生活必需品市场运行监测密切跟踪生活必需品市场运行情况，及时总结上报分析报告，保证辖区日常生活必需品市场平稳运行，及时上报监测数据、各种分析报告和意见建议。</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 xml:space="preserve"> 二、对外贸易管理。负责外资管理相关工作，承担外商投资企业设立、合同／章程及其变更事项的备案；组织协调外商投资企业联合年检工作；负责我区利用外资的动态跟踪和分析工作；负责已设立外资企业的跟踪服务。依法监督技术引进、设备进口、国家限制出口的技术工作；辖区内外贸企业帮扶、组织企业参加国内外展会；负责外贸企业的跟踪服务。一是招商引资。促进外商投资稳步增长，优化产业引进结构，完成市主管部门下达的外资引进任务。打造以技术、质量、品牌、服务为核心的竞争新优势，加大针对外商投资企业的引进力度。完成市级主管部门下达的目标任务，确保外资引进稳定增长。二是促进对外贸易稳定增长，优化进出口产品结构。完成市主管部门下达的外贸进出口指标。招商引资组织实施投资贸易洽谈会等活动。组织区级企业走出去，开展贸易洽谈、招商合作等活动，促进贸易往来。三是参加各类展会组织参加各类投资贸易洽谈会、展会等活动。积极走出去、引进来，开展贸易洽谈、招商对接等活动。通过参加各类展会，宣传投资优势，吸引客商投资。招商引资组织参加各类展会活动。积极走出去、通过展会平台，大力宣传优惠政策、优势资源，接触新客商、开拓招商引资新途径。广泛接触客商，开拓招商引资新途径，积累客户资源，网站维护升级，各类媒体宣传推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三、商务政务管理</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负责系统综合业务管理和机关综合事务管理。统筹协调全区打击侵权假冒工作，完善开发区建设发展管理体系，增强网上办事能力，确保商务顺利完成 。一是做好商贸领域政策制定、改革推进、新闻宣传和信息管理等工作，统筹协调区级打击侵犯假冒工作，对拍卖、典当行业进行监督管理。保障各项业务工作畅通。 二是做好会议培训组织，内部信息化建设与维护，财务和资产管理，标准化建设，基础设施维修，大型设备购置，人事、党务以及老干部管理等工作。负责直属企事业单位管理工作  保障机关正常工作高效运转</w:t>
      </w:r>
    </w:p>
    <w:p>
      <w:pPr>
        <w:spacing w:line="570" w:lineRule="exact"/>
        <w:ind w:firstLine="643" w:firstLineChars="200"/>
        <w:jc w:val="left"/>
        <w:outlineLvl w:val="0"/>
        <w:rPr>
          <w:rFonts w:ascii="楷体_GB2312" w:eastAsia="楷体_GB2312" w:cs="Times New Roman"/>
          <w:b/>
          <w:sz w:val="32"/>
          <w:szCs w:val="24"/>
        </w:rPr>
      </w:pPr>
      <w:r>
        <w:rPr>
          <w:rFonts w:hint="eastAsia" w:ascii="楷体_GB2312" w:eastAsia="楷体_GB2312" w:cs="Times New Roman"/>
          <w:b/>
          <w:sz w:val="32"/>
          <w:szCs w:val="32"/>
        </w:rPr>
        <w:t>部门职责及工作活动绩效目标指标：</w:t>
      </w:r>
    </w:p>
    <w:p>
      <w:pPr>
        <w:spacing w:line="570" w:lineRule="exact"/>
        <w:jc w:val="center"/>
        <w:outlineLvl w:val="0"/>
        <w:rPr>
          <w:rFonts w:ascii="方正小标宋_GBK" w:eastAsia="方正小标宋_GBK" w:cs="Times New Roman"/>
          <w:sz w:val="32"/>
          <w:szCs w:val="24"/>
        </w:rPr>
      </w:pPr>
    </w:p>
    <w:bookmarkEnd w:id="0"/>
    <w:p>
      <w:pPr>
        <w:spacing w:line="570" w:lineRule="exact"/>
        <w:jc w:val="center"/>
        <w:outlineLvl w:val="0"/>
        <w:rPr>
          <w:rFonts w:ascii="仿宋_GB2312" w:eastAsia="仿宋_GB2312"/>
          <w:sz w:val="32"/>
        </w:rPr>
      </w:pPr>
      <w:bookmarkStart w:id="1" w:name="_Toc505080654"/>
      <w:r>
        <w:rPr>
          <w:rFonts w:hint="eastAsia" w:ascii="仿宋_GB2312" w:eastAsia="仿宋_GB2312"/>
          <w:sz w:val="32"/>
        </w:rPr>
        <w:t>部门职责-工作活动绩效目标</w:t>
      </w:r>
      <w:bookmarkEnd w:id="1"/>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814"/>
        <w:gridCol w:w="1579"/>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sz w:val="24"/>
              </w:rPr>
            </w:pPr>
            <w:r>
              <w:rPr>
                <w:rFonts w:hint="eastAsia" w:ascii="仿宋_GB2312" w:eastAsia="仿宋_GB2312"/>
                <w:sz w:val="24"/>
              </w:rPr>
              <w:t>705廊坊市广阳区商务局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57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570" w:lineRule="exact"/>
              <w:jc w:val="center"/>
              <w:rPr>
                <w:rFonts w:ascii="仿宋_GB2312" w:eastAsia="仿宋_GB2312"/>
                <w:b/>
              </w:rPr>
            </w:pPr>
            <w:r>
              <w:rPr>
                <w:rFonts w:hint="eastAsia" w:ascii="仿宋_GB2312" w:eastAsia="仿宋_GB2312"/>
                <w:b/>
              </w:rPr>
              <w:t>内容描述</w:t>
            </w:r>
          </w:p>
        </w:tc>
        <w:tc>
          <w:tcPr>
            <w:tcW w:w="2814" w:type="dxa"/>
            <w:vMerge w:val="restart"/>
            <w:shd w:val="clear" w:color="auto" w:fill="auto"/>
            <w:vAlign w:val="center"/>
          </w:tcPr>
          <w:p>
            <w:pPr>
              <w:spacing w:line="570" w:lineRule="exact"/>
              <w:jc w:val="center"/>
              <w:rPr>
                <w:rFonts w:ascii="仿宋_GB2312" w:eastAsia="仿宋_GB2312"/>
                <w:b/>
              </w:rPr>
            </w:pPr>
            <w:r>
              <w:rPr>
                <w:rFonts w:hint="eastAsia" w:ascii="仿宋_GB2312" w:eastAsia="仿宋_GB2312"/>
                <w:b/>
              </w:rPr>
              <w:t>绩效目标</w:t>
            </w:r>
          </w:p>
        </w:tc>
        <w:tc>
          <w:tcPr>
            <w:tcW w:w="1579" w:type="dxa"/>
            <w:vMerge w:val="restart"/>
            <w:shd w:val="clear" w:color="auto" w:fill="auto"/>
            <w:vAlign w:val="center"/>
          </w:tcPr>
          <w:p>
            <w:pPr>
              <w:spacing w:line="57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57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vMerge w:val="continue"/>
            <w:shd w:val="clear" w:color="auto" w:fill="auto"/>
            <w:vAlign w:val="center"/>
          </w:tcPr>
          <w:p/>
        </w:tc>
        <w:tc>
          <w:tcPr>
            <w:tcW w:w="737" w:type="dxa"/>
            <w:shd w:val="clear" w:color="auto" w:fill="auto"/>
            <w:vAlign w:val="center"/>
          </w:tcPr>
          <w:p>
            <w:pPr>
              <w:spacing w:line="57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57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57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57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仿宋_GB2312" w:eastAsia="仿宋_GB2312"/>
                <w:b/>
              </w:rPr>
            </w:pPr>
            <w:r>
              <w:rPr>
                <w:rFonts w:hint="eastAsia" w:ascii="仿宋_GB2312" w:eastAsia="仿宋_GB2312"/>
                <w:b/>
              </w:rPr>
              <w:t>一、商务政务管理</w:t>
            </w:r>
          </w:p>
        </w:tc>
        <w:tc>
          <w:tcPr>
            <w:tcW w:w="1276" w:type="dxa"/>
            <w:shd w:val="clear" w:color="auto" w:fill="auto"/>
            <w:vAlign w:val="center"/>
          </w:tcPr>
          <w:p>
            <w:pPr>
              <w:spacing w:line="570" w:lineRule="exact"/>
              <w:jc w:val="left"/>
              <w:rPr>
                <w:rFonts w:ascii="仿宋_GB2312" w:eastAsia="仿宋_GB2312"/>
              </w:rPr>
            </w:pPr>
            <w:r>
              <w:rPr>
                <w:rFonts w:hint="eastAsia" w:ascii="仿宋_GB2312" w:eastAsia="仿宋_GB2312"/>
              </w:rPr>
              <w:t>285.11</w:t>
            </w:r>
          </w:p>
        </w:tc>
        <w:tc>
          <w:tcPr>
            <w:tcW w:w="2976" w:type="dxa"/>
            <w:shd w:val="clear" w:color="auto" w:fill="auto"/>
            <w:vAlign w:val="center"/>
          </w:tcPr>
          <w:p>
            <w:pPr>
              <w:spacing w:line="570" w:lineRule="exact"/>
              <w:jc w:val="left"/>
              <w:rPr>
                <w:rFonts w:ascii="仿宋_GB2312" w:eastAsia="仿宋_GB2312"/>
              </w:rPr>
            </w:pPr>
            <w:r>
              <w:rPr>
                <w:rFonts w:hint="eastAsia" w:ascii="仿宋_GB2312" w:eastAsia="仿宋_GB2312"/>
              </w:rPr>
              <w:t>负责系统综合业务管理和机关综合事务管理。</w:t>
            </w:r>
          </w:p>
        </w:tc>
        <w:tc>
          <w:tcPr>
            <w:tcW w:w="2814" w:type="dxa"/>
            <w:shd w:val="clear" w:color="auto" w:fill="auto"/>
            <w:vAlign w:val="center"/>
          </w:tcPr>
          <w:p>
            <w:pPr>
              <w:spacing w:line="570" w:lineRule="exact"/>
              <w:jc w:val="left"/>
              <w:rPr>
                <w:rFonts w:ascii="仿宋_GB2312" w:eastAsia="仿宋_GB2312"/>
              </w:rPr>
            </w:pPr>
            <w:r>
              <w:rPr>
                <w:rFonts w:hint="eastAsia" w:ascii="仿宋_GB2312" w:eastAsia="仿宋_GB2312"/>
              </w:rPr>
              <w:t>统筹协调全区打击侵权假冒工作，完善开发区建设发展管理体系，增强网上办事能力，确保商务顺利完成</w:t>
            </w:r>
          </w:p>
        </w:tc>
        <w:tc>
          <w:tcPr>
            <w:tcW w:w="1579" w:type="dxa"/>
            <w:shd w:val="clear" w:color="auto" w:fill="auto"/>
            <w:vAlign w:val="center"/>
          </w:tcPr>
          <w:p>
            <w:pPr>
              <w:spacing w:line="570" w:lineRule="exact"/>
              <w:jc w:val="left"/>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仿宋_GB2312" w:eastAsia="仿宋_GB2312"/>
                <w:b/>
              </w:rPr>
            </w:pPr>
            <w:r>
              <w:rPr>
                <w:rFonts w:hint="eastAsia" w:ascii="仿宋_GB2312" w:eastAsia="仿宋_GB2312"/>
                <w:b/>
              </w:rPr>
              <w:t>　　1、综合业务管理</w:t>
            </w:r>
          </w:p>
        </w:tc>
        <w:tc>
          <w:tcPr>
            <w:tcW w:w="12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285.11</w:t>
            </w:r>
          </w:p>
        </w:tc>
        <w:tc>
          <w:tcPr>
            <w:tcW w:w="29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做好商贸领域政策制定、改革推进、新闻宣传和信息管理等工作，统筹协调区级打击侵犯假冒工作，对拍卖、典当行业进行监督管理。</w:t>
            </w:r>
          </w:p>
        </w:tc>
        <w:tc>
          <w:tcPr>
            <w:tcW w:w="2814"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保障各项业务工作畅通</w:t>
            </w: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综合业务保障率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综合业务完成率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综合业务监管率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仿宋_GB2312" w:eastAsia="仿宋_GB2312"/>
                <w:b/>
              </w:rPr>
            </w:pPr>
            <w:r>
              <w:rPr>
                <w:rFonts w:hint="eastAsia" w:ascii="仿宋_GB2312" w:eastAsia="仿宋_GB2312"/>
                <w:b/>
              </w:rPr>
              <w:t>二、市场运行监测</w:t>
            </w:r>
          </w:p>
        </w:tc>
        <w:tc>
          <w:tcPr>
            <w:tcW w:w="1276" w:type="dxa"/>
            <w:shd w:val="clear" w:color="auto" w:fill="auto"/>
            <w:vAlign w:val="center"/>
          </w:tcPr>
          <w:p>
            <w:pPr>
              <w:spacing w:line="570" w:lineRule="exact"/>
              <w:jc w:val="left"/>
              <w:rPr>
                <w:rFonts w:ascii="仿宋_GB2312" w:eastAsia="仿宋_GB2312"/>
              </w:rPr>
            </w:pPr>
          </w:p>
        </w:tc>
        <w:tc>
          <w:tcPr>
            <w:tcW w:w="2976" w:type="dxa"/>
            <w:shd w:val="clear" w:color="auto" w:fill="auto"/>
            <w:vAlign w:val="center"/>
          </w:tcPr>
          <w:p>
            <w:pPr>
              <w:spacing w:line="570" w:lineRule="exact"/>
              <w:jc w:val="left"/>
              <w:rPr>
                <w:rFonts w:ascii="仿宋_GB2312" w:eastAsia="仿宋_GB2312"/>
              </w:rPr>
            </w:pPr>
            <w:r>
              <w:rPr>
                <w:rFonts w:hint="eastAsia" w:ascii="仿宋_GB2312" w:eastAsia="仿宋_GB2312"/>
              </w:rPr>
              <w:t>监测、分析辖区生活必需品商品供求状况，负责市场预测、并提出市场运行及调控政策建议</w:t>
            </w:r>
          </w:p>
        </w:tc>
        <w:tc>
          <w:tcPr>
            <w:tcW w:w="2814" w:type="dxa"/>
            <w:shd w:val="clear" w:color="auto" w:fill="auto"/>
            <w:vAlign w:val="center"/>
          </w:tcPr>
          <w:p>
            <w:pPr>
              <w:spacing w:line="570" w:lineRule="exact"/>
              <w:jc w:val="left"/>
              <w:rPr>
                <w:rFonts w:ascii="仿宋_GB2312" w:eastAsia="仿宋_GB2312"/>
              </w:rPr>
            </w:pPr>
            <w:r>
              <w:rPr>
                <w:rFonts w:hint="eastAsia" w:ascii="仿宋_GB2312" w:eastAsia="仿宋_GB2312"/>
              </w:rPr>
              <w:t>为商务部监测体系提供监测数据；为区委、区政府决策提供意见建议</w:t>
            </w:r>
          </w:p>
        </w:tc>
        <w:tc>
          <w:tcPr>
            <w:tcW w:w="1579" w:type="dxa"/>
            <w:shd w:val="clear" w:color="auto" w:fill="auto"/>
            <w:vAlign w:val="center"/>
          </w:tcPr>
          <w:p>
            <w:pPr>
              <w:spacing w:line="570" w:lineRule="exact"/>
              <w:jc w:val="left"/>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仿宋_GB2312" w:eastAsia="仿宋_GB2312"/>
                <w:b/>
              </w:rPr>
            </w:pPr>
            <w:r>
              <w:rPr>
                <w:rFonts w:hint="eastAsia" w:ascii="仿宋_GB2312" w:eastAsia="仿宋_GB2312"/>
                <w:b/>
              </w:rPr>
              <w:t>　　1、生活必需品市场运行监测</w:t>
            </w:r>
          </w:p>
        </w:tc>
        <w:tc>
          <w:tcPr>
            <w:tcW w:w="1276" w:type="dxa"/>
            <w:vMerge w:val="restart"/>
            <w:shd w:val="clear" w:color="auto" w:fill="auto"/>
            <w:vAlign w:val="center"/>
          </w:tcPr>
          <w:p>
            <w:pPr>
              <w:spacing w:line="570" w:lineRule="exact"/>
              <w:jc w:val="left"/>
              <w:rPr>
                <w:rFonts w:ascii="仿宋_GB2312" w:eastAsia="仿宋_GB2312"/>
              </w:rPr>
            </w:pPr>
          </w:p>
        </w:tc>
        <w:tc>
          <w:tcPr>
            <w:tcW w:w="29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密切跟踪生活必需品市场运行情况，及时总结上报分析报告，保证辖区日常生活必需品市场平稳运行</w:t>
            </w:r>
          </w:p>
        </w:tc>
        <w:tc>
          <w:tcPr>
            <w:tcW w:w="2814"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及时上报监测数据、各种分析报告和意见建议</w:t>
            </w: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监测信息分析 报告报送率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监测信息报送的及时率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监测信息报送的准确率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仿宋_GB2312" w:eastAsia="仿宋_GB2312"/>
                <w:b/>
              </w:rPr>
            </w:pPr>
            <w:r>
              <w:rPr>
                <w:rFonts w:hint="eastAsia" w:ascii="仿宋_GB2312" w:eastAsia="仿宋_GB2312"/>
                <w:b/>
              </w:rPr>
              <w:t>三、对外贸易管理</w:t>
            </w:r>
          </w:p>
        </w:tc>
        <w:tc>
          <w:tcPr>
            <w:tcW w:w="1276" w:type="dxa"/>
            <w:shd w:val="clear" w:color="auto" w:fill="auto"/>
            <w:vAlign w:val="center"/>
          </w:tcPr>
          <w:p>
            <w:pPr>
              <w:spacing w:line="570" w:lineRule="exact"/>
              <w:jc w:val="left"/>
              <w:rPr>
                <w:rFonts w:ascii="仿宋_GB2312" w:eastAsia="仿宋_GB2312"/>
              </w:rPr>
            </w:pPr>
          </w:p>
        </w:tc>
        <w:tc>
          <w:tcPr>
            <w:tcW w:w="2976" w:type="dxa"/>
            <w:shd w:val="clear" w:color="auto" w:fill="auto"/>
            <w:vAlign w:val="center"/>
          </w:tcPr>
          <w:p>
            <w:pPr>
              <w:spacing w:line="570" w:lineRule="exact"/>
              <w:jc w:val="left"/>
              <w:rPr>
                <w:rFonts w:ascii="仿宋_GB2312" w:eastAsia="仿宋_GB2312"/>
              </w:rPr>
            </w:pPr>
            <w:r>
              <w:rPr>
                <w:rFonts w:hint="eastAsia" w:ascii="仿宋_GB2312" w:eastAsia="仿宋_GB2312"/>
              </w:rPr>
              <w:t>负责外资管理相关工作，承担外商投资企业设立、合同／章程及其变更事项的备案；组织协调外商投资企业联合年检工作；负责我区利用外资的动态跟踪和分析工作；负责已设立外资企业的跟踪服务。依法监督技术引进、设备进口、国家限制出口的技术工作；辖区内外贸企业帮扶、组织企业参加国内外展会；负责外贸企业的跟踪服务。</w:t>
            </w:r>
          </w:p>
        </w:tc>
        <w:tc>
          <w:tcPr>
            <w:tcW w:w="2814" w:type="dxa"/>
            <w:shd w:val="clear" w:color="auto" w:fill="auto"/>
            <w:vAlign w:val="center"/>
          </w:tcPr>
          <w:p>
            <w:pPr>
              <w:spacing w:line="570" w:lineRule="exact"/>
              <w:jc w:val="left"/>
              <w:rPr>
                <w:rFonts w:ascii="仿宋_GB2312" w:eastAsia="仿宋_GB2312"/>
              </w:rPr>
            </w:pPr>
            <w:r>
              <w:rPr>
                <w:rFonts w:hint="eastAsia" w:ascii="仿宋_GB2312" w:eastAsia="仿宋_GB2312"/>
              </w:rPr>
              <w:t>促进外商投资稳步增长，优化产业引进结构。完成市主管部门下达的外资引进任务。</w:t>
            </w:r>
          </w:p>
        </w:tc>
        <w:tc>
          <w:tcPr>
            <w:tcW w:w="1579" w:type="dxa"/>
            <w:shd w:val="clear" w:color="auto" w:fill="auto"/>
            <w:vAlign w:val="center"/>
          </w:tcPr>
          <w:p>
            <w:pPr>
              <w:spacing w:line="570" w:lineRule="exact"/>
              <w:jc w:val="left"/>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仿宋_GB2312" w:eastAsia="仿宋_GB2312"/>
                <w:b/>
              </w:rPr>
            </w:pPr>
            <w:r>
              <w:rPr>
                <w:rFonts w:hint="eastAsia" w:ascii="仿宋_GB2312" w:eastAsia="仿宋_GB2312"/>
                <w:b/>
              </w:rPr>
              <w:t>　　1、外资引进</w:t>
            </w:r>
          </w:p>
        </w:tc>
        <w:tc>
          <w:tcPr>
            <w:tcW w:w="1276" w:type="dxa"/>
            <w:vMerge w:val="restart"/>
            <w:shd w:val="clear" w:color="auto" w:fill="auto"/>
            <w:vAlign w:val="center"/>
          </w:tcPr>
          <w:p>
            <w:pPr>
              <w:spacing w:line="570" w:lineRule="exact"/>
              <w:jc w:val="left"/>
              <w:rPr>
                <w:rFonts w:ascii="仿宋_GB2312" w:eastAsia="仿宋_GB2312"/>
              </w:rPr>
            </w:pPr>
          </w:p>
        </w:tc>
        <w:tc>
          <w:tcPr>
            <w:tcW w:w="29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打造以技术、质量、品牌、服务为核心的竞争新优势，加大针对外商投资企业的引进力度。</w:t>
            </w:r>
          </w:p>
        </w:tc>
        <w:tc>
          <w:tcPr>
            <w:tcW w:w="2814"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完成市级主管部门下达的目标任务，确保外资引进稳定增长</w:t>
            </w: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实际完成引进率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外资年检完成率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企业网上备案数</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≥5</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仿宋_GB2312" w:eastAsia="仿宋_GB2312"/>
                <w:b/>
              </w:rPr>
            </w:pPr>
            <w:r>
              <w:rPr>
                <w:rFonts w:hint="eastAsia" w:ascii="仿宋_GB2312" w:eastAsia="仿宋_GB2312"/>
                <w:b/>
              </w:rPr>
              <w:t>　　2、对外贸易管理</w:t>
            </w:r>
          </w:p>
        </w:tc>
        <w:tc>
          <w:tcPr>
            <w:tcW w:w="1276" w:type="dxa"/>
            <w:vMerge w:val="restart"/>
            <w:shd w:val="clear" w:color="auto" w:fill="auto"/>
            <w:vAlign w:val="center"/>
          </w:tcPr>
          <w:p>
            <w:pPr>
              <w:spacing w:line="570" w:lineRule="exact"/>
              <w:jc w:val="left"/>
              <w:rPr>
                <w:rFonts w:ascii="仿宋_GB2312" w:eastAsia="仿宋_GB2312"/>
              </w:rPr>
            </w:pPr>
          </w:p>
        </w:tc>
        <w:tc>
          <w:tcPr>
            <w:tcW w:w="29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组织实施投资贸易洽谈会等活动。组织区级企业走出去，开展贸易洽谈、招商合作等活动，促进贸易往来。</w:t>
            </w:r>
          </w:p>
        </w:tc>
        <w:tc>
          <w:tcPr>
            <w:tcW w:w="2814"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完成市级主管部门下达的目标任务，确保外贸稳定增长</w:t>
            </w: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进出口额增长率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扶持资金申请率</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组织参加展会数</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≥4</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≥2</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仿宋_GB2312" w:eastAsia="仿宋_GB2312"/>
                <w:b/>
              </w:rPr>
            </w:pPr>
            <w:r>
              <w:rPr>
                <w:rFonts w:hint="eastAsia" w:ascii="仿宋_GB2312" w:eastAsia="仿宋_GB2312"/>
                <w:b/>
              </w:rPr>
              <w:t>四、招商引资</w:t>
            </w:r>
          </w:p>
        </w:tc>
        <w:tc>
          <w:tcPr>
            <w:tcW w:w="1276" w:type="dxa"/>
            <w:shd w:val="clear" w:color="auto" w:fill="auto"/>
            <w:vAlign w:val="center"/>
          </w:tcPr>
          <w:p>
            <w:pPr>
              <w:spacing w:line="570" w:lineRule="exact"/>
              <w:jc w:val="left"/>
              <w:rPr>
                <w:rFonts w:ascii="仿宋_GB2312" w:eastAsia="仿宋_GB2312"/>
              </w:rPr>
            </w:pPr>
            <w:r>
              <w:rPr>
                <w:rFonts w:hint="eastAsia" w:ascii="仿宋_GB2312" w:eastAsia="仿宋_GB2312"/>
              </w:rPr>
              <w:t>10.00</w:t>
            </w:r>
          </w:p>
        </w:tc>
        <w:tc>
          <w:tcPr>
            <w:tcW w:w="2976" w:type="dxa"/>
            <w:shd w:val="clear" w:color="auto" w:fill="auto"/>
            <w:vAlign w:val="center"/>
          </w:tcPr>
          <w:p>
            <w:pPr>
              <w:spacing w:line="570" w:lineRule="exact"/>
              <w:jc w:val="left"/>
              <w:rPr>
                <w:rFonts w:ascii="仿宋_GB2312" w:eastAsia="仿宋_GB2312"/>
              </w:rPr>
            </w:pPr>
            <w:r>
              <w:rPr>
                <w:rFonts w:hint="eastAsia" w:ascii="仿宋_GB2312" w:eastAsia="仿宋_GB2312"/>
              </w:rPr>
              <w:t>组织参加各类投资贸易洽谈会、展会等活动。积极走出去、引进来，开展贸易洽谈、招商对接等活动。</w:t>
            </w:r>
          </w:p>
        </w:tc>
        <w:tc>
          <w:tcPr>
            <w:tcW w:w="2814" w:type="dxa"/>
            <w:shd w:val="clear" w:color="auto" w:fill="auto"/>
            <w:vAlign w:val="center"/>
          </w:tcPr>
          <w:p>
            <w:pPr>
              <w:spacing w:line="570" w:lineRule="exact"/>
              <w:jc w:val="left"/>
              <w:rPr>
                <w:rFonts w:ascii="仿宋_GB2312" w:eastAsia="仿宋_GB2312"/>
              </w:rPr>
            </w:pPr>
            <w:r>
              <w:rPr>
                <w:rFonts w:hint="eastAsia" w:ascii="仿宋_GB2312" w:eastAsia="仿宋_GB2312"/>
              </w:rPr>
              <w:t>通过参加各类展会，宣传投资优势，吸引客商投资。</w:t>
            </w:r>
          </w:p>
        </w:tc>
        <w:tc>
          <w:tcPr>
            <w:tcW w:w="1579" w:type="dxa"/>
            <w:shd w:val="clear" w:color="auto" w:fill="auto"/>
            <w:vAlign w:val="center"/>
          </w:tcPr>
          <w:p>
            <w:pPr>
              <w:spacing w:line="570" w:lineRule="exact"/>
              <w:jc w:val="left"/>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c>
          <w:tcPr>
            <w:tcW w:w="737" w:type="dxa"/>
            <w:shd w:val="clear" w:color="auto" w:fill="auto"/>
            <w:vAlign w:val="center"/>
          </w:tcPr>
          <w:p>
            <w:pPr>
              <w:spacing w:line="57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仿宋_GB2312" w:eastAsia="仿宋_GB2312"/>
                <w:b/>
              </w:rPr>
            </w:pPr>
            <w:r>
              <w:rPr>
                <w:rFonts w:hint="eastAsia" w:ascii="仿宋_GB2312" w:eastAsia="仿宋_GB2312"/>
                <w:b/>
              </w:rPr>
              <w:t>　　1、参加各类展会</w:t>
            </w:r>
          </w:p>
        </w:tc>
        <w:tc>
          <w:tcPr>
            <w:tcW w:w="12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10.00</w:t>
            </w:r>
          </w:p>
        </w:tc>
        <w:tc>
          <w:tcPr>
            <w:tcW w:w="2976"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组织参加各类展会活动。积极走出去、通过展会平台，大力宣传优惠政策、优势资源，接触新客商、开拓招商引资新途径。</w:t>
            </w:r>
          </w:p>
        </w:tc>
        <w:tc>
          <w:tcPr>
            <w:tcW w:w="2814" w:type="dxa"/>
            <w:vMerge w:val="restart"/>
            <w:shd w:val="clear" w:color="auto" w:fill="auto"/>
            <w:vAlign w:val="center"/>
          </w:tcPr>
          <w:p>
            <w:pPr>
              <w:spacing w:line="570" w:lineRule="exact"/>
              <w:jc w:val="left"/>
              <w:rPr>
                <w:rFonts w:ascii="仿宋_GB2312" w:eastAsia="仿宋_GB2312"/>
              </w:rPr>
            </w:pPr>
            <w:r>
              <w:rPr>
                <w:rFonts w:hint="eastAsia" w:ascii="仿宋_GB2312" w:eastAsia="仿宋_GB2312"/>
              </w:rPr>
              <w:t>广泛接触客商，开拓招商引资新途径，积累客户资源，网站维护升级，各类媒体宣传推介</w:t>
            </w: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组织、参与国内外各类展会数量</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≥5</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≥2</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参展企业数量</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≥6</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≥4</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814" w:type="dxa"/>
            <w:vMerge w:val="continue"/>
            <w:shd w:val="clear" w:color="auto" w:fill="auto"/>
            <w:vAlign w:val="center"/>
          </w:tcPr>
          <w:p/>
        </w:tc>
        <w:tc>
          <w:tcPr>
            <w:tcW w:w="1579" w:type="dxa"/>
            <w:shd w:val="clear" w:color="auto" w:fill="auto"/>
            <w:vAlign w:val="center"/>
          </w:tcPr>
          <w:p>
            <w:pPr>
              <w:spacing w:line="570" w:lineRule="exact"/>
              <w:jc w:val="left"/>
              <w:rPr>
                <w:rFonts w:ascii="仿宋_GB2312" w:eastAsia="仿宋_GB2312"/>
              </w:rPr>
            </w:pPr>
            <w:r>
              <w:rPr>
                <w:rFonts w:hint="eastAsia" w:ascii="仿宋_GB2312" w:eastAsia="仿宋_GB2312"/>
              </w:rPr>
              <w:t>到会客商人数</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≥50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c>
          <w:tcPr>
            <w:tcW w:w="737" w:type="dxa"/>
            <w:shd w:val="clear" w:color="auto" w:fill="auto"/>
            <w:vAlign w:val="center"/>
          </w:tcPr>
          <w:p>
            <w:pPr>
              <w:spacing w:line="570" w:lineRule="exact"/>
              <w:jc w:val="center"/>
              <w:rPr>
                <w:rFonts w:ascii="仿宋_GB2312" w:eastAsia="仿宋_GB2312"/>
              </w:rPr>
            </w:pPr>
            <w:r>
              <w:rPr>
                <w:rFonts w:hint="eastAsia" w:ascii="仿宋_GB2312" w:eastAsia="仿宋_GB2312"/>
              </w:rPr>
              <w:t>＜30</w:t>
            </w:r>
          </w:p>
        </w:tc>
      </w:tr>
    </w:tbl>
    <w:p>
      <w:pPr>
        <w:autoSpaceDE w:val="0"/>
        <w:autoSpaceDN w:val="0"/>
        <w:adjustRightInd w:val="0"/>
        <w:spacing w:line="570" w:lineRule="exact"/>
        <w:jc w:val="left"/>
        <w:rPr>
          <w:rFonts w:ascii="黑体" w:eastAsia="黑体" w:cs="Times New Roman"/>
          <w:sz w:val="32"/>
          <w:szCs w:val="32"/>
        </w:rPr>
      </w:pPr>
    </w:p>
    <w:p>
      <w:pPr>
        <w:autoSpaceDE w:val="0"/>
        <w:autoSpaceDN w:val="0"/>
        <w:adjustRightInd w:val="0"/>
        <w:spacing w:line="570" w:lineRule="exact"/>
        <w:jc w:val="left"/>
        <w:rPr>
          <w:rFonts w:ascii="黑体" w:eastAsia="黑体" w:cs="Times New Roman"/>
          <w:sz w:val="32"/>
          <w:szCs w:val="32"/>
        </w:rPr>
      </w:pPr>
      <w:r>
        <w:rPr>
          <w:rFonts w:ascii="黑体" w:eastAsia="黑体" w:cs="Times New Roman"/>
          <w:sz w:val="32"/>
          <w:szCs w:val="32"/>
        </w:rPr>
        <w:br w:type="page"/>
      </w:r>
      <w:r>
        <w:rPr>
          <w:rFonts w:hint="eastAsia" w:ascii="黑体" w:eastAsia="黑体" w:cs="Times New Roman"/>
          <w:sz w:val="32"/>
          <w:szCs w:val="32"/>
        </w:rPr>
        <w:t>六、政府采购预算情况</w:t>
      </w:r>
    </w:p>
    <w:p>
      <w:pPr>
        <w:spacing w:line="570" w:lineRule="exact"/>
        <w:outlineLvl w:val="0"/>
        <w:rPr>
          <w:rFonts w:ascii="仿宋_GB2312" w:eastAsia="仿宋_GB2312" w:cs="Times New Roman"/>
          <w:sz w:val="32"/>
          <w:szCs w:val="24"/>
        </w:rPr>
      </w:pPr>
      <w:r>
        <w:rPr>
          <w:rFonts w:hint="eastAsia" w:ascii="仿宋_GB2312" w:eastAsia="仿宋_GB2312" w:cs="Times New Roman"/>
          <w:sz w:val="32"/>
          <w:szCs w:val="24"/>
        </w:rPr>
        <w:t>2018年，我局未安排政府采购预算。具体内容见下表。</w:t>
      </w:r>
    </w:p>
    <w:p>
      <w:pPr>
        <w:autoSpaceDE w:val="0"/>
        <w:autoSpaceDN w:val="0"/>
        <w:adjustRightInd w:val="0"/>
        <w:spacing w:line="570" w:lineRule="exact"/>
        <w:jc w:val="center"/>
        <w:rPr>
          <w:rFonts w:ascii="仿宋_GB2312" w:eastAsia="仿宋_GB2312" w:cs="Times New Roman"/>
          <w:sz w:val="32"/>
          <w:szCs w:val="24"/>
        </w:rPr>
      </w:pPr>
      <w:r>
        <w:rPr>
          <w:rFonts w:hint="eastAsia" w:ascii="仿宋_GB2312" w:eastAsia="仿宋_GB2312" w:cs="Times New Roman"/>
          <w:sz w:val="32"/>
          <w:szCs w:val="24"/>
        </w:rPr>
        <w:t>部门政府采购预算</w:t>
      </w:r>
    </w:p>
    <w:tbl>
      <w:tblPr>
        <w:tblStyle w:val="5"/>
        <w:tblW w:w="14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77"/>
        <w:gridCol w:w="1384"/>
        <w:gridCol w:w="1413"/>
        <w:gridCol w:w="888"/>
        <w:gridCol w:w="888"/>
        <w:gridCol w:w="918"/>
        <w:gridCol w:w="909"/>
        <w:gridCol w:w="909"/>
        <w:gridCol w:w="909"/>
        <w:gridCol w:w="827"/>
        <w:gridCol w:w="891"/>
        <w:gridCol w:w="891"/>
        <w:gridCol w:w="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7"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4"/>
                <w:szCs w:val="24"/>
              </w:rPr>
            </w:pPr>
            <w:r>
              <w:rPr>
                <w:rFonts w:hint="eastAsia" w:ascii="仿宋_GB2312" w:eastAsia="仿宋_GB2312" w:cs="Times New Roman"/>
                <w:sz w:val="24"/>
                <w:szCs w:val="24"/>
              </w:rPr>
              <w:t xml:space="preserve">705河北省廊坊市广阳区商务局            </w:t>
            </w:r>
          </w:p>
        </w:tc>
        <w:tc>
          <w:tcPr>
            <w:tcW w:w="6172"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4"/>
                <w:szCs w:val="24"/>
              </w:rPr>
            </w:pPr>
            <w:r>
              <w:rPr>
                <w:rFonts w:hint="eastAsia" w:ascii="仿宋_GB2312" w:eastAsia="仿宋_GB2312"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96" w:type="dxa"/>
            <w:gridSpan w:val="2"/>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政府采购项目来源</w:t>
            </w:r>
          </w:p>
        </w:tc>
        <w:tc>
          <w:tcPr>
            <w:tcW w:w="1384"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采购物品名称</w:t>
            </w:r>
          </w:p>
        </w:tc>
        <w:tc>
          <w:tcPr>
            <w:tcW w:w="1413"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政府采购目录序号</w:t>
            </w:r>
          </w:p>
        </w:tc>
        <w:tc>
          <w:tcPr>
            <w:tcW w:w="888"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数量  单位</w:t>
            </w:r>
          </w:p>
        </w:tc>
        <w:tc>
          <w:tcPr>
            <w:tcW w:w="888"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数量</w:t>
            </w:r>
          </w:p>
        </w:tc>
        <w:tc>
          <w:tcPr>
            <w:tcW w:w="918"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单价</w:t>
            </w:r>
          </w:p>
        </w:tc>
        <w:tc>
          <w:tcPr>
            <w:tcW w:w="6172" w:type="dxa"/>
            <w:gridSpan w:val="7"/>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19"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项目名称</w:t>
            </w:r>
          </w:p>
        </w:tc>
        <w:tc>
          <w:tcPr>
            <w:tcW w:w="1577"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预算资金</w:t>
            </w:r>
          </w:p>
        </w:tc>
        <w:tc>
          <w:tcPr>
            <w:tcW w:w="1384" w:type="dxa"/>
            <w:vMerge w:val="continue"/>
            <w:shd w:val="clear" w:color="auto" w:fill="auto"/>
            <w:vAlign w:val="center"/>
          </w:tcPr>
          <w:p/>
        </w:tc>
        <w:tc>
          <w:tcPr>
            <w:tcW w:w="1413" w:type="dxa"/>
            <w:vMerge w:val="continue"/>
            <w:shd w:val="clear" w:color="auto" w:fill="auto"/>
            <w:vAlign w:val="center"/>
          </w:tcPr>
          <w:p/>
        </w:tc>
        <w:tc>
          <w:tcPr>
            <w:tcW w:w="888" w:type="dxa"/>
            <w:vMerge w:val="continue"/>
            <w:shd w:val="clear" w:color="auto" w:fill="auto"/>
            <w:vAlign w:val="center"/>
          </w:tcPr>
          <w:p/>
        </w:tc>
        <w:tc>
          <w:tcPr>
            <w:tcW w:w="888" w:type="dxa"/>
            <w:vMerge w:val="continue"/>
            <w:shd w:val="clear" w:color="auto" w:fill="auto"/>
            <w:vAlign w:val="center"/>
          </w:tcPr>
          <w:p/>
        </w:tc>
        <w:tc>
          <w:tcPr>
            <w:tcW w:w="918" w:type="dxa"/>
            <w:vMerge w:val="continue"/>
            <w:shd w:val="clear" w:color="auto" w:fill="auto"/>
            <w:vAlign w:val="center"/>
          </w:tcPr>
          <w:p/>
        </w:tc>
        <w:tc>
          <w:tcPr>
            <w:tcW w:w="909"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总计</w:t>
            </w:r>
          </w:p>
        </w:tc>
        <w:tc>
          <w:tcPr>
            <w:tcW w:w="4427" w:type="dxa"/>
            <w:gridSpan w:val="5"/>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当年部门预算安排资金</w:t>
            </w:r>
          </w:p>
        </w:tc>
        <w:tc>
          <w:tcPr>
            <w:tcW w:w="836" w:type="dxa"/>
            <w:vMerge w:val="restart"/>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19" w:type="dxa"/>
            <w:vMerge w:val="continue"/>
            <w:shd w:val="clear" w:color="auto" w:fill="auto"/>
            <w:vAlign w:val="center"/>
          </w:tcPr>
          <w:p/>
        </w:tc>
        <w:tc>
          <w:tcPr>
            <w:tcW w:w="1577" w:type="dxa"/>
            <w:vMerge w:val="continue"/>
            <w:shd w:val="clear" w:color="auto" w:fill="auto"/>
            <w:vAlign w:val="center"/>
          </w:tcPr>
          <w:p/>
        </w:tc>
        <w:tc>
          <w:tcPr>
            <w:tcW w:w="1384" w:type="dxa"/>
            <w:vMerge w:val="continue"/>
            <w:shd w:val="clear" w:color="auto" w:fill="auto"/>
            <w:vAlign w:val="center"/>
          </w:tcPr>
          <w:p/>
        </w:tc>
        <w:tc>
          <w:tcPr>
            <w:tcW w:w="1413" w:type="dxa"/>
            <w:vMerge w:val="continue"/>
            <w:shd w:val="clear" w:color="auto" w:fill="auto"/>
            <w:vAlign w:val="center"/>
          </w:tcPr>
          <w:p/>
        </w:tc>
        <w:tc>
          <w:tcPr>
            <w:tcW w:w="888" w:type="dxa"/>
            <w:vMerge w:val="continue"/>
            <w:shd w:val="clear" w:color="auto" w:fill="auto"/>
            <w:vAlign w:val="center"/>
          </w:tcPr>
          <w:p/>
        </w:tc>
        <w:tc>
          <w:tcPr>
            <w:tcW w:w="888" w:type="dxa"/>
            <w:vMerge w:val="continue"/>
            <w:shd w:val="clear" w:color="auto" w:fill="auto"/>
            <w:vAlign w:val="center"/>
          </w:tcPr>
          <w:p/>
        </w:tc>
        <w:tc>
          <w:tcPr>
            <w:tcW w:w="918" w:type="dxa"/>
            <w:vMerge w:val="continue"/>
            <w:shd w:val="clear" w:color="auto" w:fill="auto"/>
            <w:vAlign w:val="center"/>
          </w:tcPr>
          <w:p/>
        </w:tc>
        <w:tc>
          <w:tcPr>
            <w:tcW w:w="909" w:type="dxa"/>
            <w:vMerge w:val="continue"/>
            <w:shd w:val="clear" w:color="auto" w:fill="auto"/>
            <w:vAlign w:val="center"/>
          </w:tcPr>
          <w:p/>
        </w:tc>
        <w:tc>
          <w:tcPr>
            <w:tcW w:w="909"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合计</w:t>
            </w:r>
          </w:p>
        </w:tc>
        <w:tc>
          <w:tcPr>
            <w:tcW w:w="909"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一般公共预算拨款</w:t>
            </w:r>
          </w:p>
        </w:tc>
        <w:tc>
          <w:tcPr>
            <w:tcW w:w="827"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基金预算拨款</w:t>
            </w:r>
          </w:p>
        </w:tc>
        <w:tc>
          <w:tcPr>
            <w:tcW w:w="891"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财政专户核拨</w:t>
            </w:r>
          </w:p>
        </w:tc>
        <w:tc>
          <w:tcPr>
            <w:tcW w:w="891"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其他来源收入</w:t>
            </w:r>
          </w:p>
        </w:tc>
        <w:tc>
          <w:tcPr>
            <w:tcW w:w="836"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19" w:type="dxa"/>
            <w:shd w:val="clear" w:color="auto" w:fill="auto"/>
            <w:vAlign w:val="center"/>
          </w:tcPr>
          <w:p>
            <w:pPr>
              <w:spacing w:line="570" w:lineRule="exact"/>
              <w:jc w:val="center"/>
              <w:rPr>
                <w:rFonts w:ascii="仿宋_GB2312" w:eastAsia="仿宋_GB2312" w:cs="Times New Roman"/>
                <w:b/>
                <w:szCs w:val="24"/>
              </w:rPr>
            </w:pPr>
            <w:r>
              <w:rPr>
                <w:rFonts w:hint="eastAsia" w:ascii="仿宋_GB2312" w:eastAsia="仿宋_GB2312" w:cs="Times New Roman"/>
                <w:b/>
                <w:szCs w:val="24"/>
              </w:rPr>
              <w:t>合　计</w:t>
            </w:r>
          </w:p>
        </w:tc>
        <w:tc>
          <w:tcPr>
            <w:tcW w:w="1577" w:type="dxa"/>
            <w:shd w:val="clear" w:color="auto" w:fill="auto"/>
            <w:vAlign w:val="center"/>
          </w:tcPr>
          <w:p>
            <w:pPr>
              <w:spacing w:line="570" w:lineRule="exact"/>
              <w:jc w:val="right"/>
              <w:rPr>
                <w:rFonts w:ascii="仿宋_GB2312" w:eastAsia="仿宋_GB2312" w:cs="Times New Roman"/>
                <w:b/>
                <w:szCs w:val="24"/>
              </w:rPr>
            </w:pPr>
          </w:p>
        </w:tc>
        <w:tc>
          <w:tcPr>
            <w:tcW w:w="1384" w:type="dxa"/>
            <w:shd w:val="clear" w:color="auto" w:fill="auto"/>
            <w:vAlign w:val="center"/>
          </w:tcPr>
          <w:p>
            <w:pPr>
              <w:spacing w:line="570" w:lineRule="exact"/>
              <w:jc w:val="left"/>
              <w:rPr>
                <w:rFonts w:ascii="仿宋_GB2312" w:eastAsia="仿宋_GB2312" w:cs="Times New Roman"/>
                <w:b/>
                <w:szCs w:val="24"/>
              </w:rPr>
            </w:pPr>
          </w:p>
        </w:tc>
        <w:tc>
          <w:tcPr>
            <w:tcW w:w="1413" w:type="dxa"/>
            <w:shd w:val="clear" w:color="auto" w:fill="auto"/>
            <w:vAlign w:val="center"/>
          </w:tcPr>
          <w:p>
            <w:pPr>
              <w:spacing w:line="570" w:lineRule="exact"/>
              <w:jc w:val="left"/>
              <w:rPr>
                <w:rFonts w:ascii="仿宋_GB2312" w:eastAsia="仿宋_GB2312" w:cs="Times New Roman"/>
                <w:b/>
                <w:szCs w:val="24"/>
              </w:rPr>
            </w:pPr>
          </w:p>
        </w:tc>
        <w:tc>
          <w:tcPr>
            <w:tcW w:w="888" w:type="dxa"/>
            <w:shd w:val="clear" w:color="auto" w:fill="auto"/>
            <w:vAlign w:val="center"/>
          </w:tcPr>
          <w:p>
            <w:pPr>
              <w:spacing w:line="570" w:lineRule="exact"/>
              <w:jc w:val="left"/>
              <w:rPr>
                <w:rFonts w:ascii="仿宋_GB2312" w:eastAsia="仿宋_GB2312" w:cs="Times New Roman"/>
                <w:b/>
                <w:szCs w:val="24"/>
              </w:rPr>
            </w:pPr>
          </w:p>
        </w:tc>
        <w:tc>
          <w:tcPr>
            <w:tcW w:w="888" w:type="dxa"/>
            <w:shd w:val="clear" w:color="auto" w:fill="auto"/>
            <w:vAlign w:val="center"/>
          </w:tcPr>
          <w:p>
            <w:pPr>
              <w:spacing w:line="570" w:lineRule="exact"/>
              <w:jc w:val="right"/>
              <w:rPr>
                <w:rFonts w:ascii="仿宋_GB2312" w:eastAsia="仿宋_GB2312" w:cs="Times New Roman"/>
                <w:b/>
                <w:szCs w:val="24"/>
              </w:rPr>
            </w:pPr>
          </w:p>
        </w:tc>
        <w:tc>
          <w:tcPr>
            <w:tcW w:w="918" w:type="dxa"/>
            <w:shd w:val="clear" w:color="auto" w:fill="auto"/>
            <w:vAlign w:val="center"/>
          </w:tcPr>
          <w:p>
            <w:pPr>
              <w:spacing w:line="570" w:lineRule="exact"/>
              <w:jc w:val="right"/>
              <w:rPr>
                <w:rFonts w:ascii="仿宋_GB2312" w:eastAsia="仿宋_GB2312" w:cs="Times New Roman"/>
                <w:b/>
                <w:szCs w:val="24"/>
              </w:rPr>
            </w:pPr>
          </w:p>
        </w:tc>
        <w:tc>
          <w:tcPr>
            <w:tcW w:w="909" w:type="dxa"/>
            <w:shd w:val="clear" w:color="auto" w:fill="auto"/>
            <w:vAlign w:val="center"/>
          </w:tcPr>
          <w:p>
            <w:pPr>
              <w:spacing w:line="570" w:lineRule="exact"/>
              <w:jc w:val="right"/>
              <w:rPr>
                <w:rFonts w:ascii="仿宋_GB2312" w:eastAsia="仿宋_GB2312" w:cs="Times New Roman"/>
                <w:b/>
                <w:szCs w:val="24"/>
              </w:rPr>
            </w:pPr>
          </w:p>
        </w:tc>
        <w:tc>
          <w:tcPr>
            <w:tcW w:w="909" w:type="dxa"/>
            <w:shd w:val="clear" w:color="auto" w:fill="auto"/>
            <w:vAlign w:val="center"/>
          </w:tcPr>
          <w:p>
            <w:pPr>
              <w:spacing w:line="570" w:lineRule="exact"/>
              <w:jc w:val="right"/>
              <w:rPr>
                <w:rFonts w:ascii="仿宋_GB2312" w:eastAsia="仿宋_GB2312" w:cs="Times New Roman"/>
                <w:b/>
                <w:szCs w:val="24"/>
              </w:rPr>
            </w:pPr>
          </w:p>
        </w:tc>
        <w:tc>
          <w:tcPr>
            <w:tcW w:w="909" w:type="dxa"/>
            <w:shd w:val="clear" w:color="auto" w:fill="auto"/>
            <w:vAlign w:val="center"/>
          </w:tcPr>
          <w:p>
            <w:pPr>
              <w:spacing w:line="570" w:lineRule="exact"/>
              <w:jc w:val="right"/>
              <w:rPr>
                <w:rFonts w:ascii="仿宋_GB2312" w:eastAsia="仿宋_GB2312" w:cs="Times New Roman"/>
                <w:b/>
                <w:szCs w:val="24"/>
              </w:rPr>
            </w:pPr>
          </w:p>
        </w:tc>
        <w:tc>
          <w:tcPr>
            <w:tcW w:w="827" w:type="dxa"/>
            <w:shd w:val="clear" w:color="auto" w:fill="auto"/>
            <w:vAlign w:val="center"/>
          </w:tcPr>
          <w:p>
            <w:pPr>
              <w:spacing w:line="570" w:lineRule="exact"/>
              <w:jc w:val="right"/>
              <w:rPr>
                <w:rFonts w:ascii="仿宋_GB2312" w:eastAsia="仿宋_GB2312" w:cs="Times New Roman"/>
                <w:b/>
                <w:szCs w:val="24"/>
              </w:rPr>
            </w:pPr>
          </w:p>
        </w:tc>
        <w:tc>
          <w:tcPr>
            <w:tcW w:w="891" w:type="dxa"/>
            <w:shd w:val="clear" w:color="auto" w:fill="auto"/>
            <w:vAlign w:val="center"/>
          </w:tcPr>
          <w:p>
            <w:pPr>
              <w:spacing w:line="570" w:lineRule="exact"/>
              <w:jc w:val="right"/>
              <w:rPr>
                <w:rFonts w:ascii="仿宋_GB2312" w:eastAsia="仿宋_GB2312" w:cs="Times New Roman"/>
                <w:b/>
                <w:szCs w:val="24"/>
              </w:rPr>
            </w:pPr>
          </w:p>
        </w:tc>
        <w:tc>
          <w:tcPr>
            <w:tcW w:w="891" w:type="dxa"/>
            <w:shd w:val="clear" w:color="auto" w:fill="auto"/>
            <w:vAlign w:val="center"/>
          </w:tcPr>
          <w:p>
            <w:pPr>
              <w:spacing w:line="570" w:lineRule="exact"/>
              <w:jc w:val="right"/>
              <w:rPr>
                <w:rFonts w:ascii="仿宋_GB2312" w:eastAsia="仿宋_GB2312" w:cs="Times New Roman"/>
                <w:b/>
                <w:szCs w:val="24"/>
              </w:rPr>
            </w:pPr>
          </w:p>
        </w:tc>
        <w:tc>
          <w:tcPr>
            <w:tcW w:w="836" w:type="dxa"/>
            <w:shd w:val="clear" w:color="auto" w:fill="auto"/>
            <w:vAlign w:val="center"/>
          </w:tcPr>
          <w:p>
            <w:pPr>
              <w:spacing w:line="570" w:lineRule="exact"/>
              <w:jc w:val="right"/>
              <w:rPr>
                <w:rFonts w:ascii="仿宋_GB2312" w:eastAsia="仿宋_GB2312"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19" w:type="dxa"/>
            <w:shd w:val="clear" w:color="auto" w:fill="auto"/>
            <w:vAlign w:val="center"/>
          </w:tcPr>
          <w:p>
            <w:pPr>
              <w:spacing w:line="570" w:lineRule="exact"/>
              <w:jc w:val="center"/>
              <w:rPr>
                <w:rFonts w:ascii="仿宋_GB2312" w:eastAsia="仿宋_GB2312" w:cs="Times New Roman"/>
                <w:b/>
                <w:szCs w:val="24"/>
              </w:rPr>
            </w:pPr>
          </w:p>
        </w:tc>
        <w:tc>
          <w:tcPr>
            <w:tcW w:w="1577" w:type="dxa"/>
            <w:shd w:val="clear" w:color="auto" w:fill="auto"/>
            <w:vAlign w:val="center"/>
          </w:tcPr>
          <w:p>
            <w:pPr>
              <w:spacing w:line="570" w:lineRule="exact"/>
              <w:jc w:val="right"/>
              <w:rPr>
                <w:rFonts w:ascii="仿宋_GB2312" w:eastAsia="仿宋_GB2312" w:cs="Times New Roman"/>
                <w:szCs w:val="24"/>
              </w:rPr>
            </w:pPr>
          </w:p>
        </w:tc>
        <w:tc>
          <w:tcPr>
            <w:tcW w:w="1384" w:type="dxa"/>
            <w:shd w:val="clear" w:color="auto" w:fill="auto"/>
            <w:vAlign w:val="center"/>
          </w:tcPr>
          <w:p>
            <w:pPr>
              <w:spacing w:line="570" w:lineRule="exact"/>
              <w:jc w:val="left"/>
              <w:rPr>
                <w:rFonts w:ascii="仿宋_GB2312" w:eastAsia="仿宋_GB2312" w:cs="Times New Roman"/>
                <w:szCs w:val="24"/>
              </w:rPr>
            </w:pPr>
          </w:p>
        </w:tc>
        <w:tc>
          <w:tcPr>
            <w:tcW w:w="1413" w:type="dxa"/>
            <w:shd w:val="clear" w:color="auto" w:fill="auto"/>
            <w:vAlign w:val="center"/>
          </w:tcPr>
          <w:p>
            <w:pPr>
              <w:spacing w:line="570" w:lineRule="exact"/>
              <w:jc w:val="left"/>
              <w:rPr>
                <w:rFonts w:ascii="仿宋_GB2312" w:eastAsia="仿宋_GB2312" w:cs="Times New Roman"/>
                <w:szCs w:val="24"/>
              </w:rPr>
            </w:pPr>
          </w:p>
        </w:tc>
        <w:tc>
          <w:tcPr>
            <w:tcW w:w="888" w:type="dxa"/>
            <w:shd w:val="clear" w:color="auto" w:fill="auto"/>
            <w:vAlign w:val="center"/>
          </w:tcPr>
          <w:p>
            <w:pPr>
              <w:spacing w:line="570" w:lineRule="exact"/>
              <w:jc w:val="left"/>
              <w:rPr>
                <w:rFonts w:ascii="仿宋_GB2312" w:eastAsia="仿宋_GB2312" w:cs="Times New Roman"/>
                <w:szCs w:val="24"/>
              </w:rPr>
            </w:pPr>
          </w:p>
        </w:tc>
        <w:tc>
          <w:tcPr>
            <w:tcW w:w="888" w:type="dxa"/>
            <w:shd w:val="clear" w:color="auto" w:fill="auto"/>
            <w:vAlign w:val="center"/>
          </w:tcPr>
          <w:p>
            <w:pPr>
              <w:spacing w:line="570" w:lineRule="exact"/>
              <w:jc w:val="right"/>
              <w:rPr>
                <w:rFonts w:ascii="仿宋_GB2312" w:eastAsia="仿宋_GB2312" w:cs="Times New Roman"/>
                <w:szCs w:val="24"/>
              </w:rPr>
            </w:pPr>
          </w:p>
        </w:tc>
        <w:tc>
          <w:tcPr>
            <w:tcW w:w="918" w:type="dxa"/>
            <w:shd w:val="clear" w:color="auto" w:fill="auto"/>
            <w:vAlign w:val="center"/>
          </w:tcPr>
          <w:p>
            <w:pPr>
              <w:spacing w:line="570" w:lineRule="exact"/>
              <w:jc w:val="right"/>
              <w:rPr>
                <w:rFonts w:ascii="仿宋_GB2312" w:eastAsia="仿宋_GB2312" w:cs="Times New Roman"/>
                <w:szCs w:val="24"/>
              </w:rPr>
            </w:pPr>
          </w:p>
        </w:tc>
        <w:tc>
          <w:tcPr>
            <w:tcW w:w="909" w:type="dxa"/>
            <w:shd w:val="clear" w:color="auto" w:fill="auto"/>
            <w:vAlign w:val="center"/>
          </w:tcPr>
          <w:p>
            <w:pPr>
              <w:spacing w:line="570" w:lineRule="exact"/>
              <w:jc w:val="right"/>
              <w:rPr>
                <w:rFonts w:ascii="仿宋_GB2312" w:eastAsia="仿宋_GB2312" w:cs="Times New Roman"/>
                <w:szCs w:val="24"/>
              </w:rPr>
            </w:pPr>
          </w:p>
        </w:tc>
        <w:tc>
          <w:tcPr>
            <w:tcW w:w="909" w:type="dxa"/>
            <w:shd w:val="clear" w:color="auto" w:fill="auto"/>
            <w:vAlign w:val="center"/>
          </w:tcPr>
          <w:p>
            <w:pPr>
              <w:spacing w:line="570" w:lineRule="exact"/>
              <w:jc w:val="right"/>
              <w:rPr>
                <w:rFonts w:ascii="仿宋_GB2312" w:eastAsia="仿宋_GB2312" w:cs="Times New Roman"/>
                <w:szCs w:val="24"/>
              </w:rPr>
            </w:pPr>
          </w:p>
        </w:tc>
        <w:tc>
          <w:tcPr>
            <w:tcW w:w="909" w:type="dxa"/>
            <w:shd w:val="clear" w:color="auto" w:fill="auto"/>
            <w:vAlign w:val="center"/>
          </w:tcPr>
          <w:p>
            <w:pPr>
              <w:spacing w:line="570" w:lineRule="exact"/>
              <w:jc w:val="right"/>
              <w:rPr>
                <w:rFonts w:ascii="仿宋_GB2312" w:eastAsia="仿宋_GB2312" w:cs="Times New Roman"/>
                <w:szCs w:val="24"/>
              </w:rPr>
            </w:pPr>
          </w:p>
        </w:tc>
        <w:tc>
          <w:tcPr>
            <w:tcW w:w="827" w:type="dxa"/>
            <w:shd w:val="clear" w:color="auto" w:fill="auto"/>
            <w:vAlign w:val="center"/>
          </w:tcPr>
          <w:p>
            <w:pPr>
              <w:spacing w:line="570" w:lineRule="exact"/>
              <w:jc w:val="right"/>
              <w:rPr>
                <w:rFonts w:ascii="仿宋_GB2312" w:eastAsia="仿宋_GB2312" w:cs="Times New Roman"/>
                <w:b/>
                <w:szCs w:val="24"/>
              </w:rPr>
            </w:pPr>
          </w:p>
        </w:tc>
        <w:tc>
          <w:tcPr>
            <w:tcW w:w="891" w:type="dxa"/>
            <w:shd w:val="clear" w:color="auto" w:fill="auto"/>
            <w:vAlign w:val="center"/>
          </w:tcPr>
          <w:p>
            <w:pPr>
              <w:spacing w:line="570" w:lineRule="exact"/>
              <w:jc w:val="right"/>
              <w:rPr>
                <w:rFonts w:ascii="仿宋_GB2312" w:eastAsia="仿宋_GB2312" w:cs="Times New Roman"/>
                <w:b/>
                <w:szCs w:val="24"/>
              </w:rPr>
            </w:pPr>
          </w:p>
        </w:tc>
        <w:tc>
          <w:tcPr>
            <w:tcW w:w="891" w:type="dxa"/>
            <w:shd w:val="clear" w:color="auto" w:fill="auto"/>
            <w:vAlign w:val="center"/>
          </w:tcPr>
          <w:p>
            <w:pPr>
              <w:spacing w:line="570" w:lineRule="exact"/>
              <w:jc w:val="right"/>
              <w:rPr>
                <w:rFonts w:ascii="仿宋_GB2312" w:eastAsia="仿宋_GB2312" w:cs="Times New Roman"/>
                <w:b/>
                <w:szCs w:val="24"/>
              </w:rPr>
            </w:pPr>
          </w:p>
        </w:tc>
        <w:tc>
          <w:tcPr>
            <w:tcW w:w="836" w:type="dxa"/>
            <w:shd w:val="clear" w:color="auto" w:fill="auto"/>
            <w:vAlign w:val="center"/>
          </w:tcPr>
          <w:p>
            <w:pPr>
              <w:spacing w:line="570" w:lineRule="exact"/>
              <w:jc w:val="right"/>
              <w:rPr>
                <w:rFonts w:ascii="仿宋_GB2312" w:eastAsia="仿宋_GB2312" w:cs="Times New Roman"/>
                <w:b/>
                <w:szCs w:val="24"/>
              </w:rPr>
            </w:pPr>
          </w:p>
        </w:tc>
      </w:tr>
    </w:tbl>
    <w:p>
      <w:pPr>
        <w:autoSpaceDE w:val="0"/>
        <w:autoSpaceDN w:val="0"/>
        <w:adjustRightInd w:val="0"/>
        <w:spacing w:line="570" w:lineRule="exact"/>
        <w:jc w:val="left"/>
        <w:rPr>
          <w:rFonts w:ascii="仿宋_GB2312" w:eastAsia="仿宋_GB2312" w:cs="Times New Roman"/>
          <w:sz w:val="32"/>
          <w:szCs w:val="32"/>
        </w:rPr>
      </w:pPr>
    </w:p>
    <w:p>
      <w:pPr>
        <w:spacing w:line="570" w:lineRule="exact"/>
        <w:jc w:val="left"/>
        <w:outlineLvl w:val="0"/>
        <w:rPr>
          <w:rFonts w:ascii="仿宋_GB2312" w:eastAsia="仿宋_GB2312"/>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spacing w:line="570" w:lineRule="exact"/>
        <w:ind w:left="198" w:firstLine="640" w:firstLineChars="200"/>
        <w:jc w:val="left"/>
        <w:rPr>
          <w:rFonts w:ascii="黑体" w:eastAsia="黑体" w:cs="Times New Roman"/>
          <w:sz w:val="32"/>
          <w:szCs w:val="32"/>
        </w:rPr>
      </w:pPr>
      <w:r>
        <w:rPr>
          <w:rFonts w:hint="eastAsia" w:ascii="黑体" w:eastAsia="黑体" w:cs="Times New Roman"/>
          <w:sz w:val="32"/>
          <w:szCs w:val="32"/>
        </w:rPr>
        <w:t>七、国有资产信息</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Times New Roman"/>
          <w:sz w:val="32"/>
          <w:szCs w:val="32"/>
        </w:rPr>
        <w:t>廊坊市广阳区商务局（含所属单位）上年末固定资产金额为200.2万元，</w:t>
      </w:r>
      <w:r>
        <w:rPr>
          <w:rFonts w:hint="eastAsia" w:ascii="仿宋_GB2312" w:eastAsia="仿宋_GB2312" w:cs="宋体"/>
          <w:color w:val="000000"/>
          <w:kern w:val="0"/>
          <w:sz w:val="32"/>
          <w:szCs w:val="32"/>
        </w:rPr>
        <w:t>我部门本年度无拟购置固定资产，详见下表。</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70" w:lineRule="exact"/>
              <w:jc w:val="center"/>
              <w:rPr>
                <w:rFonts w:ascii="宋体" w:cs="宋体"/>
                <w:b/>
                <w:bCs/>
                <w:kern w:val="0"/>
                <w:sz w:val="32"/>
                <w:szCs w:val="32"/>
              </w:rPr>
            </w:pPr>
          </w:p>
          <w:p>
            <w:pPr>
              <w:widowControl/>
              <w:spacing w:line="570" w:lineRule="exact"/>
              <w:jc w:val="center"/>
              <w:rPr>
                <w:rFonts w:ascii="宋体" w:cs="宋体"/>
                <w:b/>
                <w:bCs/>
                <w:kern w:val="0"/>
                <w:sz w:val="32"/>
                <w:szCs w:val="32"/>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 xml:space="preserve">编制部门：705河北省廊坊市广阳区商务局                </w:t>
            </w:r>
          </w:p>
        </w:tc>
        <w:tc>
          <w:tcPr>
            <w:tcW w:w="5103" w:type="dxa"/>
            <w:tcBorders>
              <w:top w:val="nil"/>
              <w:left w:val="nil"/>
              <w:bottom w:val="nil"/>
              <w:right w:val="nil"/>
            </w:tcBorders>
            <w:shd w:val="clear" w:color="auto" w:fill="auto"/>
            <w:vAlign w:val="center"/>
          </w:tcPr>
          <w:p>
            <w:pPr>
              <w:widowControl/>
              <w:spacing w:line="570" w:lineRule="exact"/>
              <w:ind w:firstLine="1540" w:firstLineChars="700"/>
              <w:jc w:val="left"/>
              <w:rPr>
                <w:rFonts w:ascii="宋体" w:cs="宋体"/>
                <w:kern w:val="0"/>
                <w:sz w:val="22"/>
              </w:rPr>
            </w:pPr>
            <w:r>
              <w:rPr>
                <w:rFonts w:hint="eastAsia" w:ascii="宋体" w:cs="宋体"/>
                <w:kern w:val="0"/>
                <w:sz w:val="22"/>
              </w:rPr>
              <w:t xml:space="preserve">截止时间：2017年12月31日  </w:t>
            </w:r>
          </w:p>
        </w:tc>
      </w:tr>
      <w:tr>
        <w:tblPrEx>
          <w:tblCellMar>
            <w:top w:w="0" w:type="dxa"/>
            <w:left w:w="108" w:type="dxa"/>
            <w:bottom w:w="0" w:type="dxa"/>
            <w:right w:w="108" w:type="dxa"/>
          </w:tblCellMar>
        </w:tblPrEx>
        <w:trPr>
          <w:trHeight w:val="550"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70" w:lineRule="exact"/>
              <w:jc w:val="center"/>
              <w:rPr>
                <w:rFonts w:ascii="宋体" w:cs="宋体"/>
                <w:b/>
                <w:bCs/>
                <w:kern w:val="0"/>
                <w:sz w:val="22"/>
              </w:rPr>
            </w:pPr>
            <w:r>
              <w:rPr>
                <w:rFonts w:hint="eastAsia" w:ascii="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70" w:lineRule="exact"/>
              <w:jc w:val="center"/>
              <w:rPr>
                <w:rFonts w:ascii="宋体" w:cs="宋体"/>
                <w:b/>
                <w:bCs/>
                <w:kern w:val="0"/>
                <w:sz w:val="22"/>
              </w:rPr>
            </w:pPr>
            <w:r>
              <w:rPr>
                <w:rFonts w:hint="eastAsia" w:ascii="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70" w:lineRule="exact"/>
              <w:jc w:val="center"/>
              <w:rPr>
                <w:rFonts w:ascii="宋体" w:cs="宋体"/>
                <w:b/>
                <w:bCs/>
                <w:kern w:val="0"/>
                <w:sz w:val="22"/>
              </w:rPr>
            </w:pPr>
            <w:r>
              <w:rPr>
                <w:rFonts w:hint="eastAsia" w:asci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200.2</w:t>
            </w:r>
          </w:p>
        </w:tc>
      </w:tr>
      <w:tr>
        <w:tblPrEx>
          <w:tblCellMar>
            <w:top w:w="0" w:type="dxa"/>
            <w:left w:w="108" w:type="dxa"/>
            <w:bottom w:w="0" w:type="dxa"/>
            <w:right w:w="108" w:type="dxa"/>
          </w:tblCellMar>
        </w:tblPrEx>
        <w:trPr>
          <w:trHeight w:val="46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1120</w:t>
            </w: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158.6</w:t>
            </w:r>
          </w:p>
        </w:tc>
      </w:tr>
      <w:tr>
        <w:tblPrEx>
          <w:tblCellMar>
            <w:top w:w="0" w:type="dxa"/>
            <w:left w:w="108" w:type="dxa"/>
            <w:bottom w:w="0" w:type="dxa"/>
            <w:right w:w="108" w:type="dxa"/>
          </w:tblCellMar>
        </w:tblPrEx>
        <w:trPr>
          <w:trHeight w:val="432"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1120</w:t>
            </w: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158.6</w:t>
            </w:r>
          </w:p>
        </w:tc>
      </w:tr>
      <w:tr>
        <w:tblPrEx>
          <w:tblCellMar>
            <w:top w:w="0" w:type="dxa"/>
            <w:left w:w="108" w:type="dxa"/>
            <w:bottom w:w="0" w:type="dxa"/>
            <w:right w:w="108" w:type="dxa"/>
          </w:tblCellMar>
        </w:tblPrEx>
        <w:trPr>
          <w:trHeight w:val="552"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1</w:t>
            </w: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7.35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0" w:lineRule="exact"/>
              <w:jc w:val="left"/>
              <w:rPr>
                <w:rFonts w:ascii="宋体" w:cs="宋体"/>
                <w:kern w:val="0"/>
                <w:sz w:val="22"/>
              </w:rPr>
            </w:pPr>
            <w:r>
              <w:rPr>
                <w:rFonts w:hint="eastAsia" w:ascii="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spacing w:line="570" w:lineRule="exact"/>
              <w:jc w:val="center"/>
              <w:rPr>
                <w:rFonts w:ascii="宋体" w:cs="宋体"/>
                <w:kern w:val="0"/>
                <w:sz w:val="22"/>
              </w:rPr>
            </w:pPr>
            <w:r>
              <w:rPr>
                <w:rFonts w:hint="eastAsia" w:ascii="宋体" w:cs="宋体"/>
                <w:kern w:val="0"/>
                <w:sz w:val="22"/>
              </w:rPr>
              <w:t>34.25</w:t>
            </w:r>
          </w:p>
        </w:tc>
      </w:tr>
    </w:tbl>
    <w:p>
      <w:pPr>
        <w:autoSpaceDE w:val="0"/>
        <w:autoSpaceDN w:val="0"/>
        <w:adjustRightInd w:val="0"/>
        <w:spacing w:line="570" w:lineRule="exact"/>
        <w:ind w:firstLine="640" w:firstLineChars="200"/>
        <w:jc w:val="left"/>
        <w:rPr>
          <w:rFonts w:ascii="黑体" w:eastAsia="黑体" w:cs="Times New Roman"/>
          <w:sz w:val="32"/>
          <w:szCs w:val="32"/>
        </w:rPr>
      </w:pPr>
    </w:p>
    <w:p>
      <w:pPr>
        <w:autoSpaceDE w:val="0"/>
        <w:autoSpaceDN w:val="0"/>
        <w:adjustRightInd w:val="0"/>
        <w:spacing w:line="570" w:lineRule="exact"/>
        <w:ind w:firstLine="640" w:firstLineChars="200"/>
        <w:jc w:val="left"/>
        <w:rPr>
          <w:rFonts w:ascii="黑体" w:eastAsia="黑体" w:cs="Times New Roman"/>
          <w:sz w:val="32"/>
          <w:szCs w:val="32"/>
        </w:rPr>
      </w:pPr>
      <w:r>
        <w:rPr>
          <w:rFonts w:ascii="黑体" w:eastAsia="黑体" w:cs="Times New Roman"/>
          <w:sz w:val="32"/>
          <w:szCs w:val="32"/>
        </w:rPr>
        <w:br w:type="page"/>
      </w:r>
      <w:r>
        <w:rPr>
          <w:rFonts w:hint="eastAsia" w:ascii="黑体" w:eastAsia="黑体" w:cs="Times New Roman"/>
          <w:sz w:val="32"/>
          <w:szCs w:val="32"/>
        </w:rPr>
        <w:t>八、名词解释</w:t>
      </w:r>
    </w:p>
    <w:p>
      <w:pPr>
        <w:pStyle w:val="7"/>
        <w:spacing w:line="570" w:lineRule="exact"/>
        <w:rPr>
          <w:rFonts w:ascii="仿宋_GB2312" w:eastAsia="仿宋_GB2312"/>
          <w:b/>
          <w:bCs/>
          <w:sz w:val="32"/>
          <w:szCs w:val="32"/>
        </w:rPr>
      </w:pPr>
      <w:r>
        <w:rPr>
          <w:b/>
          <w:bCs/>
          <w:sz w:val="32"/>
          <w:szCs w:val="32"/>
        </w:rPr>
        <w:t xml:space="preserve"> </w:t>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tabs>
          <w:tab w:val="left" w:pos="11490"/>
        </w:tabs>
        <w:spacing w:line="570" w:lineRule="exact"/>
        <w:ind w:firstLine="640" w:firstLineChars="200"/>
        <w:rPr>
          <w:rFonts w:ascii="黑体" w:eastAsia="黑体" w:cs="Times New Roman"/>
          <w:sz w:val="32"/>
          <w:szCs w:val="32"/>
        </w:rPr>
      </w:pPr>
      <w:r>
        <w:rPr>
          <w:rFonts w:hint="eastAsia" w:ascii="黑体" w:eastAsia="黑体" w:cs="Times New Roman"/>
          <w:sz w:val="32"/>
          <w:szCs w:val="32"/>
        </w:rPr>
        <w:t>九、其他需要说明的事项</w:t>
      </w:r>
    </w:p>
    <w:p>
      <w:pPr>
        <w:tabs>
          <w:tab w:val="left" w:pos="11490"/>
        </w:tabs>
        <w:spacing w:line="570"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无其他需要说明的事项。</w:t>
      </w:r>
    </w:p>
    <w:p>
      <w:pPr>
        <w:spacing w:line="570" w:lineRule="exact"/>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AE5749"/>
    <w:rsid w:val="00073BAB"/>
    <w:rsid w:val="001D61AF"/>
    <w:rsid w:val="002F4500"/>
    <w:rsid w:val="00703722"/>
    <w:rsid w:val="007926F0"/>
    <w:rsid w:val="00AE5749"/>
    <w:rsid w:val="00BB2105"/>
    <w:rsid w:val="04D07FFF"/>
    <w:rsid w:val="0B9F534D"/>
    <w:rsid w:val="0FBD70B5"/>
    <w:rsid w:val="1B17503F"/>
    <w:rsid w:val="1D9A32B8"/>
    <w:rsid w:val="294B39F0"/>
    <w:rsid w:val="440E3B98"/>
    <w:rsid w:val="4BA47B8A"/>
    <w:rsid w:val="5AE27D7C"/>
    <w:rsid w:val="642D623B"/>
    <w:rsid w:val="71726E77"/>
    <w:rsid w:val="769A330A"/>
    <w:rsid w:val="78451318"/>
    <w:rsid w:val="7BAA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customStyle="1" w:styleId="7">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页眉 Char"/>
    <w:basedOn w:val="6"/>
    <w:link w:val="3"/>
    <w:qFormat/>
    <w:uiPriority w:val="0"/>
    <w:rPr>
      <w:rFonts w:ascii="Calibri" w:hAnsi="Calibri" w:cs="Arial"/>
      <w:kern w:val="2"/>
      <w:sz w:val="18"/>
      <w:szCs w:val="18"/>
    </w:rPr>
  </w:style>
  <w:style w:type="character" w:customStyle="1" w:styleId="9">
    <w:name w:val="页脚 Char"/>
    <w:basedOn w:val="6"/>
    <w:link w:val="2"/>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716</Words>
  <Characters>4084</Characters>
  <Lines>34</Lines>
  <Paragraphs>9</Paragraphs>
  <TotalTime>0</TotalTime>
  <ScaleCrop>false</ScaleCrop>
  <LinksUpToDate>false</LinksUpToDate>
  <CharactersWithSpaces>4791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2018-02-26T07:18:00Z</dcterms:created>
  <dc:creator>微软用户</dc:creator>
  <cp:lastModifiedBy>Administrator</cp:lastModifiedBy>
  <dcterms:modified xsi:type="dcterms:W3CDTF">2024-01-18T01:47:32Z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247AC12D63374709A1AB21421020EC88</vt:lpwstr>
  </property>
</Properties>
</file>