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tLeast"/>
        <w:jc w:val="center"/>
        <w:rPr>
          <w:rFonts w:hint="eastAsia" w:ascii="方正小标宋简体" w:eastAsia="方正小标宋简体" w:cs="宋体"/>
          <w:color w:val="000000"/>
          <w:kern w:val="0"/>
          <w:sz w:val="44"/>
          <w:szCs w:val="44"/>
        </w:rPr>
      </w:pPr>
      <w:r>
        <w:rPr>
          <w:rFonts w:hint="eastAsia" w:ascii="方正小标宋简体" w:eastAsia="方正小标宋简体" w:cs="宋体"/>
          <w:b/>
          <w:bCs/>
          <w:color w:val="000000"/>
          <w:kern w:val="0"/>
          <w:sz w:val="44"/>
          <w:szCs w:val="44"/>
        </w:rPr>
        <w:t>廊坊市广阳区人民代表大会常务委员会201</w:t>
      </w:r>
      <w:r>
        <w:rPr>
          <w:rFonts w:ascii="方正小标宋简体" w:eastAsia="方正小标宋简体" w:cs="宋体"/>
          <w:b/>
          <w:bCs/>
          <w:color w:val="000000"/>
          <w:kern w:val="0"/>
          <w:sz w:val="44"/>
          <w:szCs w:val="44"/>
        </w:rPr>
        <w:t>8</w:t>
      </w:r>
      <w:r>
        <w:rPr>
          <w:rFonts w:hint="eastAsia" w:ascii="方正小标宋简体" w:eastAsia="方正小标宋简体" w:cs="宋体"/>
          <w:b/>
          <w:bCs/>
          <w:color w:val="000000"/>
          <w:kern w:val="0"/>
          <w:sz w:val="44"/>
          <w:szCs w:val="44"/>
        </w:rPr>
        <w:t>年部门预算信息公开</w:t>
      </w:r>
    </w:p>
    <w:p>
      <w:pPr>
        <w:ind w:left="60" w:firstLine="640" w:firstLineChars="200"/>
        <w:rPr>
          <w:rFonts w:hint="eastAsia" w:ascii="仿宋_GB2312" w:eastAsia="仿宋_GB2312"/>
          <w:sz w:val="32"/>
          <w:szCs w:val="32"/>
        </w:rPr>
      </w:pPr>
      <w:r>
        <w:rPr>
          <w:rFonts w:hint="eastAsia" w:ascii="仿宋_GB2312" w:eastAsia="仿宋_GB2312"/>
          <w:sz w:val="32"/>
          <w:szCs w:val="32"/>
        </w:rPr>
        <w:t>按照《</w:t>
      </w:r>
      <w:r>
        <w:rPr>
          <w:rFonts w:hint="eastAsia" w:ascii="仿宋_GB2312" w:eastAsia="仿宋_GB2312"/>
          <w:sz w:val="32"/>
          <w:szCs w:val="32"/>
          <w:lang w:eastAsia="zh-CN"/>
        </w:rPr>
        <w:t>中华人民共和国</w:t>
      </w:r>
      <w:bookmarkStart w:id="0" w:name="_GoBack"/>
      <w:bookmarkEnd w:id="0"/>
      <w:r>
        <w:rPr>
          <w:rFonts w:hint="eastAsia" w:ascii="仿宋_GB2312" w:eastAsia="仿宋_GB2312"/>
          <w:sz w:val="32"/>
          <w:szCs w:val="32"/>
        </w:rPr>
        <w:t>预算法》、《地方预决算公开操作规程》和《河北省省级预算公开办法》规定，现将</w:t>
      </w:r>
      <w:r>
        <w:rPr>
          <w:rFonts w:hint="eastAsia" w:ascii="仿宋_GB2312" w:eastAsia="仿宋_GB2312" w:cs="宋体"/>
          <w:color w:val="000000"/>
          <w:kern w:val="0"/>
          <w:sz w:val="32"/>
          <w:szCs w:val="32"/>
        </w:rPr>
        <w:t>廊坊市广阳区人民代表大会常务委员会</w:t>
      </w:r>
      <w:r>
        <w:rPr>
          <w:rFonts w:hint="eastAsia" w:ascii="仿宋_GB2312" w:eastAsia="仿宋_GB2312"/>
          <w:sz w:val="32"/>
          <w:szCs w:val="32"/>
        </w:rPr>
        <w:t>201</w:t>
      </w:r>
      <w:r>
        <w:rPr>
          <w:rFonts w:ascii="仿宋_GB2312" w:eastAsia="仿宋_GB2312"/>
          <w:sz w:val="32"/>
          <w:szCs w:val="32"/>
        </w:rPr>
        <w:t>8</w:t>
      </w:r>
      <w:r>
        <w:rPr>
          <w:rFonts w:hint="eastAsia" w:ascii="仿宋_GB2312" w:eastAsia="仿宋_GB2312"/>
          <w:sz w:val="32"/>
          <w:szCs w:val="32"/>
        </w:rPr>
        <w:t>年部门预算公开如下：</w:t>
      </w:r>
    </w:p>
    <w:p>
      <w:pPr>
        <w:widowControl/>
        <w:jc w:val="left"/>
        <w:rPr>
          <w:rFonts w:ascii="仿宋_GB2312" w:eastAsia="仿宋_GB2312" w:cs="宋体"/>
          <w:color w:val="000000"/>
          <w:kern w:val="0"/>
          <w:sz w:val="32"/>
          <w:szCs w:val="32"/>
        </w:rPr>
      </w:pPr>
      <w:r>
        <w:rPr>
          <w:rFonts w:hint="eastAsia" w:ascii="黑体" w:eastAsia="黑体" w:cs="宋体"/>
          <w:b/>
          <w:bCs/>
          <w:color w:val="000000"/>
          <w:kern w:val="0"/>
          <w:sz w:val="32"/>
          <w:szCs w:val="32"/>
        </w:rPr>
        <w:t>一、部门职责及机构设置情况</w:t>
      </w:r>
      <w:r>
        <w:rPr>
          <w:rFonts w:hint="eastAsia" w:ascii="黑体" w:eastAsia="黑体" w:cs="宋体"/>
          <w:color w:val="000000"/>
          <w:kern w:val="0"/>
          <w:sz w:val="32"/>
          <w:szCs w:val="32"/>
        </w:rPr>
        <w:br w:type="textWrapping"/>
      </w:r>
      <w:r>
        <w:rPr>
          <w:rFonts w:hint="eastAsia" w:ascii="仿宋_GB2312" w:eastAsia="仿宋_GB2312" w:cs="宋体"/>
          <w:b/>
          <w:bCs/>
          <w:color w:val="000000"/>
          <w:kern w:val="0"/>
          <w:sz w:val="32"/>
          <w:szCs w:val="32"/>
        </w:rPr>
        <w:t>部门职责：</w:t>
      </w:r>
      <w:r>
        <w:rPr>
          <w:rFonts w:hint="eastAsia" w:ascii="仿宋_GB2312" w:eastAsia="仿宋_GB2312" w:cs="宋体"/>
          <w:color w:val="000000"/>
          <w:kern w:val="0"/>
          <w:sz w:val="32"/>
          <w:szCs w:val="32"/>
        </w:rPr>
        <w:br w:type="textWrapping"/>
      </w:r>
      <w:r>
        <w:rPr>
          <w:rFonts w:hint="eastAsia" w:ascii="仿宋_GB2312" w:eastAsia="仿宋_GB2312" w:cs="宋体"/>
          <w:color w:val="000000"/>
          <w:kern w:val="0"/>
          <w:sz w:val="32"/>
          <w:szCs w:val="32"/>
        </w:rPr>
        <w:t>1、在广阳区行政范围内保证宪法、法律、行政法规和上级人民代表大会及其常委会决议的遵守和执行</w:t>
      </w:r>
      <w:r>
        <w:rPr>
          <w:rFonts w:ascii="仿宋_GB2312" w:eastAsia="仿宋_GB2312" w:cs="宋体"/>
          <w:color w:val="000000"/>
          <w:kern w:val="0"/>
          <w:sz w:val="32"/>
          <w:szCs w:val="32"/>
        </w:rPr>
        <w:t>。</w:t>
      </w:r>
    </w:p>
    <w:p>
      <w:pPr>
        <w:widowControl/>
        <w:jc w:val="left"/>
        <w:rPr>
          <w:rFonts w:ascii="仿宋_GB2312" w:eastAsia="仿宋_GB2312" w:cs="宋体"/>
          <w:b/>
          <w:bCs/>
          <w:color w:val="000000"/>
          <w:kern w:val="0"/>
          <w:sz w:val="32"/>
          <w:szCs w:val="32"/>
        </w:rPr>
      </w:pPr>
      <w:r>
        <w:rPr>
          <w:rFonts w:hint="eastAsia" w:ascii="仿宋_GB2312" w:eastAsia="仿宋_GB2312" w:cs="宋体"/>
          <w:color w:val="000000"/>
          <w:kern w:val="0"/>
          <w:sz w:val="32"/>
          <w:szCs w:val="32"/>
        </w:rPr>
        <w:t>2、领导、主持区人民代表大会代表的选举；召集区人民代表大会会议；讨论、决定广阳区域内的政治、经济、教育、科学、文化、卫生、环境和资源保护、民政、民族等工作的重大事项；根据区人民政府的建议，决定对本县内的国民经济和社会发展计划、预算的部分变更。</w:t>
      </w:r>
      <w:r>
        <w:rPr>
          <w:rFonts w:hint="eastAsia" w:ascii="仿宋_GB2312" w:eastAsia="仿宋_GB2312" w:cs="宋体"/>
          <w:color w:val="000000"/>
          <w:kern w:val="0"/>
          <w:sz w:val="32"/>
          <w:szCs w:val="32"/>
        </w:rPr>
        <w:br w:type="textWrapping"/>
      </w:r>
      <w:r>
        <w:rPr>
          <w:rFonts w:hint="eastAsia" w:ascii="仿宋_GB2312" w:eastAsia="仿宋_GB2312" w:cs="宋体"/>
          <w:color w:val="000000"/>
          <w:kern w:val="0"/>
          <w:sz w:val="32"/>
          <w:szCs w:val="32"/>
        </w:rPr>
        <w:t>3、监督区人民政府、区人民法院和区人民检察院的工作，联系区人民代表大会代表，受理人民群众对区各级国家行政机关和国家工作人员的申诉和意见；撤销下一级人民代表大会的不适当的决议。</w:t>
      </w:r>
      <w:r>
        <w:rPr>
          <w:rFonts w:hint="eastAsia" w:ascii="仿宋_GB2312" w:eastAsia="仿宋_GB2312" w:cs="宋体"/>
          <w:color w:val="000000"/>
          <w:kern w:val="0"/>
          <w:sz w:val="32"/>
          <w:szCs w:val="32"/>
        </w:rPr>
        <w:br w:type="textWrapping"/>
      </w:r>
      <w:r>
        <w:rPr>
          <w:rFonts w:hint="eastAsia" w:ascii="仿宋_GB2312" w:eastAsia="仿宋_GB2312" w:cs="宋体"/>
          <w:color w:val="000000"/>
          <w:kern w:val="0"/>
          <w:sz w:val="32"/>
          <w:szCs w:val="32"/>
        </w:rPr>
        <w:t>4、在区人民代表大会闭会期间，决定副区长的个别任免；在区长和人民法院院长、人民检察院检察长因故不能担任职务的时候，从区人民政府、人民法院、人民检察院副职领导人员中决定代理的人选。根据区长的提名，决定区人民政府办公室主任和政府职能局局长的任免；决定授予地方的荣誉称号。</w:t>
      </w:r>
      <w:r>
        <w:rPr>
          <w:rFonts w:hint="eastAsia" w:ascii="仿宋_GB2312" w:eastAsia="仿宋_GB2312" w:cs="宋体"/>
          <w:color w:val="000000"/>
          <w:kern w:val="0"/>
          <w:sz w:val="32"/>
          <w:szCs w:val="32"/>
        </w:rPr>
        <w:br w:type="textWrapping"/>
      </w:r>
      <w:r>
        <w:rPr>
          <w:rFonts w:hint="eastAsia" w:ascii="仿宋_GB2312" w:eastAsia="仿宋_GB2312" w:cs="宋体"/>
          <w:b/>
          <w:bCs/>
          <w:color w:val="000000"/>
          <w:kern w:val="0"/>
          <w:sz w:val="32"/>
          <w:szCs w:val="32"/>
        </w:rPr>
        <w:t>机构设置：</w:t>
      </w:r>
    </w:p>
    <w:p>
      <w:pPr>
        <w:widowControl/>
        <w:jc w:val="center"/>
        <w:rPr>
          <w:rFonts w:hint="eastAsia" w:ascii="仿宋_GB2312" w:eastAsia="仿宋_GB2312" w:cs="宋体"/>
          <w:kern w:val="0"/>
          <w:sz w:val="32"/>
          <w:szCs w:val="32"/>
        </w:rPr>
      </w:pPr>
      <w:r>
        <w:rPr>
          <w:rFonts w:hint="eastAsia" w:ascii="仿宋_GB2312" w:eastAsia="仿宋_GB2312" w:cs="宋体"/>
          <w:color w:val="000000"/>
          <w:kern w:val="0"/>
          <w:sz w:val="32"/>
          <w:szCs w:val="32"/>
        </w:rPr>
        <w:t>部门机构设置情况</w:t>
      </w:r>
    </w:p>
    <w:tbl>
      <w:tblPr>
        <w:tblStyle w:val="4"/>
        <w:tblW w:w="9515" w:type="dxa"/>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4307"/>
        <w:gridCol w:w="1131"/>
        <w:gridCol w:w="1261"/>
        <w:gridCol w:w="281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998" w:hRule="atLeast"/>
          <w:tblHeader/>
          <w:tblCellSpacing w:w="0" w:type="dxa"/>
          <w:jc w:val="center"/>
        </w:trPr>
        <w:tc>
          <w:tcPr>
            <w:tcW w:w="4307"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center"/>
              <w:rPr>
                <w:rFonts w:hint="eastAsia" w:ascii="仿宋_GB2312" w:eastAsia="仿宋_GB2312" w:cs="宋体"/>
                <w:b/>
                <w:bCs/>
                <w:color w:val="000000"/>
                <w:kern w:val="0"/>
                <w:sz w:val="32"/>
                <w:szCs w:val="32"/>
              </w:rPr>
            </w:pPr>
            <w:r>
              <w:rPr>
                <w:rFonts w:hint="eastAsia" w:ascii="仿宋_GB2312" w:eastAsia="仿宋_GB2312" w:cs="宋体"/>
                <w:b/>
                <w:bCs/>
                <w:color w:val="000000"/>
                <w:kern w:val="0"/>
                <w:sz w:val="32"/>
                <w:szCs w:val="32"/>
              </w:rPr>
              <w:t>单位名称</w:t>
            </w:r>
          </w:p>
        </w:tc>
        <w:tc>
          <w:tcPr>
            <w:tcW w:w="113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center"/>
              <w:rPr>
                <w:rFonts w:hint="eastAsia" w:ascii="仿宋_GB2312" w:eastAsia="仿宋_GB2312" w:cs="宋体"/>
                <w:b/>
                <w:bCs/>
                <w:color w:val="000000"/>
                <w:kern w:val="0"/>
                <w:sz w:val="32"/>
                <w:szCs w:val="32"/>
              </w:rPr>
            </w:pPr>
            <w:r>
              <w:rPr>
                <w:rFonts w:hint="eastAsia" w:ascii="仿宋_GB2312" w:eastAsia="仿宋_GB2312" w:cs="宋体"/>
                <w:b/>
                <w:bCs/>
                <w:color w:val="000000"/>
                <w:kern w:val="0"/>
                <w:sz w:val="32"/>
                <w:szCs w:val="32"/>
              </w:rPr>
              <w:t>单位性质</w:t>
            </w:r>
          </w:p>
        </w:tc>
        <w:tc>
          <w:tcPr>
            <w:tcW w:w="126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center"/>
              <w:rPr>
                <w:rFonts w:hint="eastAsia" w:ascii="仿宋_GB2312" w:eastAsia="仿宋_GB2312" w:cs="宋体"/>
                <w:b/>
                <w:bCs/>
                <w:color w:val="000000"/>
                <w:kern w:val="0"/>
                <w:sz w:val="32"/>
                <w:szCs w:val="32"/>
              </w:rPr>
            </w:pPr>
            <w:r>
              <w:rPr>
                <w:rFonts w:hint="eastAsia" w:ascii="仿宋_GB2312" w:eastAsia="仿宋_GB2312" w:cs="宋体"/>
                <w:b/>
                <w:bCs/>
                <w:color w:val="000000"/>
                <w:kern w:val="0"/>
                <w:sz w:val="32"/>
                <w:szCs w:val="32"/>
              </w:rPr>
              <w:t>单位规格</w:t>
            </w:r>
          </w:p>
        </w:tc>
        <w:tc>
          <w:tcPr>
            <w:tcW w:w="2816"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center"/>
              <w:rPr>
                <w:rFonts w:hint="eastAsia" w:ascii="仿宋_GB2312" w:eastAsia="仿宋_GB2312" w:cs="宋体"/>
                <w:b/>
                <w:bCs/>
                <w:color w:val="000000"/>
                <w:kern w:val="0"/>
                <w:sz w:val="32"/>
                <w:szCs w:val="32"/>
              </w:rPr>
            </w:pPr>
            <w:r>
              <w:rPr>
                <w:rFonts w:hint="eastAsia" w:ascii="仿宋_GB2312" w:eastAsia="仿宋_GB2312" w:cs="宋体"/>
                <w:b/>
                <w:bCs/>
                <w:color w:val="000000"/>
                <w:kern w:val="0"/>
                <w:sz w:val="32"/>
                <w:szCs w:val="32"/>
              </w:rPr>
              <w:t>经费保障形式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55" w:hRule="atLeast"/>
          <w:tblCellSpacing w:w="0" w:type="dxa"/>
          <w:jc w:val="center"/>
        </w:trPr>
        <w:tc>
          <w:tcPr>
            <w:tcW w:w="4307"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center"/>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廊坊市广阳区人民代表大会常务委员会</w:t>
            </w:r>
          </w:p>
        </w:tc>
        <w:tc>
          <w:tcPr>
            <w:tcW w:w="113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center"/>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行政单位</w:t>
            </w:r>
          </w:p>
        </w:tc>
        <w:tc>
          <w:tcPr>
            <w:tcW w:w="126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center"/>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正处级</w:t>
            </w:r>
          </w:p>
        </w:tc>
        <w:tc>
          <w:tcPr>
            <w:tcW w:w="2816"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center"/>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财政拨款</w:t>
            </w:r>
          </w:p>
        </w:tc>
      </w:tr>
    </w:tbl>
    <w:p>
      <w:pPr>
        <w:widowControl/>
        <w:spacing w:line="360" w:lineRule="atLeast"/>
        <w:jc w:val="left"/>
        <w:rPr>
          <w:rFonts w:ascii="宋体" w:hAnsi="宋体" w:eastAsia="仿宋_GB2312" w:cs="宋体"/>
          <w:color w:val="000000"/>
          <w:kern w:val="0"/>
          <w:sz w:val="32"/>
          <w:szCs w:val="32"/>
        </w:rPr>
      </w:pPr>
      <w:r>
        <w:rPr>
          <w:rFonts w:hint="eastAsia" w:ascii="宋体" w:hAnsi="宋体" w:eastAsia="仿宋_GB2312" w:cs="宋体"/>
          <w:color w:val="000000"/>
          <w:kern w:val="0"/>
          <w:sz w:val="32"/>
          <w:szCs w:val="32"/>
        </w:rPr>
        <w:t> </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left"/>
        <w:textAlignment w:val="auto"/>
        <w:outlineLvl w:val="9"/>
        <w:rPr>
          <w:rFonts w:ascii="宋体" w:hAnsi="宋体" w:eastAsia="楷体_GB2312" w:cs="宋体"/>
          <w:b/>
          <w:bCs/>
          <w:color w:val="000000"/>
          <w:kern w:val="0"/>
          <w:sz w:val="32"/>
          <w:szCs w:val="32"/>
        </w:rPr>
      </w:pPr>
      <w:r>
        <w:rPr>
          <w:rFonts w:hint="eastAsia" w:ascii="宋体" w:hAnsi="宋体" w:eastAsia="黑体" w:cs="宋体"/>
          <w:color w:val="000000"/>
          <w:kern w:val="0"/>
          <w:sz w:val="32"/>
          <w:szCs w:val="32"/>
        </w:rPr>
        <w:t> </w:t>
      </w:r>
      <w:r>
        <w:rPr>
          <w:rFonts w:hint="eastAsia" w:ascii="黑体" w:eastAsia="黑体" w:cs="宋体"/>
          <w:b/>
          <w:bCs/>
          <w:color w:val="000000"/>
          <w:kern w:val="0"/>
          <w:sz w:val="32"/>
          <w:szCs w:val="32"/>
        </w:rPr>
        <w:t>二、部门预算安排的总体情况</w:t>
      </w:r>
      <w:r>
        <w:rPr>
          <w:rFonts w:hint="eastAsia" w:ascii="黑体" w:eastAsia="黑体" w:cs="宋体"/>
          <w:color w:val="000000"/>
          <w:kern w:val="0"/>
          <w:sz w:val="32"/>
          <w:szCs w:val="32"/>
        </w:rPr>
        <w:br w:type="textWrapping"/>
      </w:r>
      <w:r>
        <w:rPr>
          <w:rFonts w:hint="eastAsia" w:ascii="宋体" w:hAnsi="宋体" w:eastAsia="仿宋_GB2312" w:cs="宋体"/>
          <w:color w:val="000000"/>
          <w:kern w:val="0"/>
          <w:sz w:val="32"/>
          <w:szCs w:val="32"/>
        </w:rPr>
        <w:t> </w:t>
      </w:r>
      <w:r>
        <w:rPr>
          <w:rFonts w:hint="eastAsia" w:ascii="宋体" w:hAnsi="宋体" w:eastAsia="仿宋_GB2312" w:cs="宋体"/>
          <w:color w:val="000000"/>
          <w:kern w:val="0"/>
          <w:sz w:val="32"/>
          <w:szCs w:val="32"/>
          <w:lang w:val="en-US" w:eastAsia="zh-CN"/>
        </w:rPr>
        <w:t xml:space="preserve"> </w:t>
      </w:r>
      <w:r>
        <w:rPr>
          <w:rFonts w:hint="eastAsia" w:ascii="宋体" w:hAnsi="宋体" w:eastAsia="仿宋_GB2312" w:cs="宋体"/>
          <w:color w:val="000000"/>
          <w:kern w:val="0"/>
          <w:sz w:val="32"/>
          <w:szCs w:val="32"/>
        </w:rPr>
        <w:t xml:space="preserve"> </w:t>
      </w:r>
      <w:r>
        <w:rPr>
          <w:rFonts w:hint="eastAsia" w:ascii="仿宋_GB2312" w:eastAsia="仿宋_GB2312" w:cs="宋体"/>
          <w:color w:val="000000"/>
          <w:kern w:val="0"/>
          <w:sz w:val="32"/>
          <w:szCs w:val="32"/>
        </w:rPr>
        <w:t>按照预算管理有关规定，目前我区部门预算的编制实行综合预算制度，即全部收入和支出都反映在预算中。</w:t>
      </w:r>
      <w:r>
        <w:rPr>
          <w:rFonts w:hint="eastAsia" w:ascii="仿宋_GB2312" w:hAnsi="Times New Roman" w:eastAsia="仿宋_GB2312" w:cs="Times New Roman"/>
          <w:sz w:val="32"/>
          <w:szCs w:val="32"/>
        </w:rPr>
        <w:t>廊坊市</w:t>
      </w:r>
      <w:r>
        <w:rPr>
          <w:rFonts w:hint="eastAsia" w:ascii="仿宋_GB2312" w:eastAsia="仿宋_GB2312" w:cs="宋体"/>
          <w:color w:val="000000"/>
          <w:kern w:val="0"/>
          <w:sz w:val="32"/>
          <w:szCs w:val="32"/>
        </w:rPr>
        <w:t>广阳区人民代表大会常务委员会</w:t>
      </w:r>
      <w:r>
        <w:rPr>
          <w:rFonts w:hint="eastAsia" w:ascii="仿宋_GB2312" w:hAnsi="Times New Roman" w:eastAsia="仿宋_GB2312" w:cs="Times New Roman"/>
          <w:sz w:val="32"/>
          <w:szCs w:val="32"/>
        </w:rPr>
        <w:t>机关及所属事业单位的收支包含在部门预算中</w:t>
      </w:r>
      <w:r>
        <w:rPr>
          <w:rFonts w:hint="eastAsia" w:ascii="仿宋_GB2312" w:hAnsi="Times New Roman" w:eastAsia="仿宋_GB2312" w:cs="Times New Roman"/>
          <w:sz w:val="32"/>
          <w:szCs w:val="32"/>
          <w:lang w:eastAsia="zh-CN"/>
        </w:rPr>
        <w:t>。</w:t>
      </w:r>
      <w:r>
        <w:rPr>
          <w:rFonts w:hint="eastAsia" w:ascii="仿宋_GB2312" w:eastAsia="仿宋_GB2312" w:cs="宋体"/>
          <w:color w:val="000000"/>
          <w:kern w:val="0"/>
          <w:sz w:val="32"/>
          <w:szCs w:val="32"/>
        </w:rPr>
        <w:br w:type="textWrapping"/>
      </w:r>
      <w:r>
        <w:rPr>
          <w:rFonts w:hint="eastAsia" w:ascii="宋体" w:hAnsi="宋体" w:eastAsia="楷体_GB2312" w:cs="宋体"/>
          <w:b/>
          <w:bCs/>
          <w:color w:val="000000"/>
          <w:kern w:val="0"/>
          <w:sz w:val="32"/>
          <w:szCs w:val="32"/>
        </w:rPr>
        <w:t xml:space="preserve">    </w:t>
      </w:r>
      <w:r>
        <w:rPr>
          <w:rFonts w:hint="eastAsia" w:ascii="楷体_GB2312" w:eastAsia="楷体_GB2312" w:cs="宋体"/>
          <w:b/>
          <w:bCs/>
          <w:color w:val="000000"/>
          <w:kern w:val="0"/>
          <w:sz w:val="32"/>
          <w:szCs w:val="32"/>
        </w:rPr>
        <w:t>1、收入说明</w:t>
      </w:r>
      <w:r>
        <w:rPr>
          <w:rFonts w:hint="eastAsia" w:ascii="楷体_GB2312" w:eastAsia="楷体_GB2312" w:cs="宋体"/>
          <w:color w:val="000000"/>
          <w:kern w:val="0"/>
          <w:sz w:val="32"/>
          <w:szCs w:val="32"/>
        </w:rPr>
        <w:br w:type="textWrapping"/>
      </w:r>
      <w:r>
        <w:rPr>
          <w:rFonts w:hint="eastAsia" w:ascii="宋体" w:hAnsi="宋体" w:eastAsia="仿宋_GB2312" w:cs="宋体"/>
          <w:color w:val="000000"/>
          <w:kern w:val="0"/>
          <w:sz w:val="32"/>
          <w:szCs w:val="32"/>
        </w:rPr>
        <w:t xml:space="preserve">    </w:t>
      </w:r>
      <w:r>
        <w:rPr>
          <w:rFonts w:hint="eastAsia" w:ascii="仿宋_GB2312" w:eastAsia="仿宋_GB2312" w:cs="宋体"/>
          <w:color w:val="000000"/>
          <w:kern w:val="0"/>
          <w:sz w:val="32"/>
          <w:szCs w:val="32"/>
        </w:rPr>
        <w:t>201</w:t>
      </w:r>
      <w:r>
        <w:rPr>
          <w:rFonts w:ascii="仿宋_GB2312" w:eastAsia="仿宋_GB2312" w:cs="宋体"/>
          <w:color w:val="000000"/>
          <w:kern w:val="0"/>
          <w:sz w:val="32"/>
          <w:szCs w:val="32"/>
        </w:rPr>
        <w:t>8</w:t>
      </w:r>
      <w:r>
        <w:rPr>
          <w:rFonts w:hint="eastAsia" w:ascii="仿宋_GB2312" w:eastAsia="仿宋_GB2312" w:cs="宋体"/>
          <w:color w:val="000000"/>
          <w:kern w:val="0"/>
          <w:sz w:val="32"/>
          <w:szCs w:val="32"/>
        </w:rPr>
        <w:t>年预算收入</w:t>
      </w:r>
      <w:r>
        <w:rPr>
          <w:rFonts w:ascii="仿宋_GB2312" w:eastAsia="仿宋_GB2312" w:cs="宋体"/>
          <w:color w:val="000000"/>
          <w:kern w:val="0"/>
          <w:sz w:val="32"/>
          <w:szCs w:val="32"/>
        </w:rPr>
        <w:t>820.06</w:t>
      </w:r>
      <w:r>
        <w:rPr>
          <w:rFonts w:hint="eastAsia" w:ascii="仿宋_GB2312" w:eastAsia="仿宋_GB2312" w:cs="宋体"/>
          <w:color w:val="000000"/>
          <w:kern w:val="0"/>
          <w:sz w:val="32"/>
          <w:szCs w:val="32"/>
        </w:rPr>
        <w:t>万元，其中：一般公共预算收入</w:t>
      </w:r>
      <w:r>
        <w:rPr>
          <w:rFonts w:ascii="仿宋_GB2312" w:eastAsia="仿宋_GB2312" w:cs="宋体"/>
          <w:color w:val="000000"/>
          <w:kern w:val="0"/>
          <w:sz w:val="32"/>
          <w:szCs w:val="32"/>
        </w:rPr>
        <w:t>820.06</w:t>
      </w:r>
      <w:r>
        <w:rPr>
          <w:rFonts w:hint="eastAsia" w:ascii="仿宋_GB2312" w:eastAsia="仿宋_GB2312" w:cs="宋体"/>
          <w:color w:val="000000"/>
          <w:kern w:val="0"/>
          <w:sz w:val="32"/>
          <w:szCs w:val="32"/>
        </w:rPr>
        <w:t>万元，政府性基金收入0万元</w:t>
      </w:r>
      <w:r>
        <w:rPr>
          <w:rFonts w:ascii="仿宋_GB2312" w:eastAsia="仿宋_GB2312" w:cs="宋体"/>
          <w:color w:val="000000"/>
          <w:kern w:val="0"/>
          <w:sz w:val="32"/>
          <w:szCs w:val="32"/>
        </w:rPr>
        <w:t>,</w:t>
      </w:r>
      <w:r>
        <w:rPr>
          <w:rFonts w:hint="eastAsia" w:ascii="仿宋_GB2312" w:hAnsi="Courier New" w:eastAsia="仿宋_GB2312" w:cs="Courier New"/>
          <w:color w:val="000000"/>
          <w:sz w:val="32"/>
          <w:szCs w:val="32"/>
        </w:rPr>
        <w:t>财政专户核拨收入</w:t>
      </w:r>
      <w:r>
        <w:rPr>
          <w:rFonts w:ascii="仿宋_GB2312" w:hAnsi="Courier New" w:eastAsia="仿宋_GB2312" w:cs="Courier New"/>
          <w:color w:val="000000"/>
          <w:sz w:val="32"/>
          <w:szCs w:val="32"/>
        </w:rPr>
        <w:t>0</w:t>
      </w:r>
      <w:r>
        <w:rPr>
          <w:rFonts w:hint="eastAsia" w:ascii="仿宋_GB2312" w:hAnsi="Courier New" w:eastAsia="仿宋_GB2312" w:cs="Courier New"/>
          <w:color w:val="000000"/>
          <w:sz w:val="32"/>
          <w:szCs w:val="32"/>
        </w:rPr>
        <w:t>万元，其他来源收入</w:t>
      </w:r>
      <w:r>
        <w:rPr>
          <w:rFonts w:ascii="仿宋_GB2312" w:hAnsi="Courier New" w:eastAsia="仿宋_GB2312" w:cs="Courier New"/>
          <w:color w:val="000000"/>
          <w:sz w:val="32"/>
          <w:szCs w:val="32"/>
        </w:rPr>
        <w:t>0</w:t>
      </w:r>
      <w:r>
        <w:rPr>
          <w:rFonts w:hint="eastAsia" w:ascii="仿宋_GB2312" w:hAnsi="Courier New" w:eastAsia="仿宋_GB2312" w:cs="Courier New"/>
          <w:color w:val="000000"/>
          <w:sz w:val="32"/>
          <w:szCs w:val="32"/>
        </w:rPr>
        <w:t>万元</w:t>
      </w:r>
      <w:r>
        <w:rPr>
          <w:rFonts w:hint="eastAsia" w:ascii="仿宋_GB2312" w:eastAsia="仿宋_GB2312" w:cs="宋体"/>
          <w:color w:val="000000"/>
          <w:kern w:val="0"/>
          <w:sz w:val="32"/>
          <w:szCs w:val="32"/>
        </w:rPr>
        <w:t>。</w:t>
      </w:r>
      <w:r>
        <w:rPr>
          <w:rFonts w:hint="eastAsia" w:ascii="仿宋_GB2312" w:eastAsia="仿宋_GB2312" w:cs="宋体"/>
          <w:color w:val="000000"/>
          <w:kern w:val="0"/>
          <w:sz w:val="32"/>
          <w:szCs w:val="32"/>
        </w:rPr>
        <w:br w:type="textWrapping"/>
      </w:r>
      <w:r>
        <w:rPr>
          <w:rFonts w:hint="eastAsia" w:ascii="宋体" w:hAnsi="宋体" w:eastAsia="楷体_GB2312" w:cs="宋体"/>
          <w:b/>
          <w:bCs/>
          <w:color w:val="000000"/>
          <w:kern w:val="0"/>
          <w:sz w:val="32"/>
          <w:szCs w:val="32"/>
        </w:rPr>
        <w:t xml:space="preserve">    </w:t>
      </w:r>
      <w:r>
        <w:rPr>
          <w:rFonts w:hint="eastAsia" w:ascii="楷体_GB2312" w:eastAsia="楷体_GB2312" w:cs="宋体"/>
          <w:b/>
          <w:bCs/>
          <w:color w:val="000000"/>
          <w:kern w:val="0"/>
          <w:sz w:val="32"/>
          <w:szCs w:val="32"/>
        </w:rPr>
        <w:t>2、支出说明</w:t>
      </w:r>
      <w:r>
        <w:rPr>
          <w:rFonts w:hint="eastAsia" w:ascii="楷体_GB2312" w:eastAsia="楷体_GB2312" w:cs="宋体"/>
          <w:color w:val="000000"/>
          <w:kern w:val="0"/>
          <w:sz w:val="32"/>
          <w:szCs w:val="32"/>
        </w:rPr>
        <w:br w:type="textWrapping"/>
      </w:r>
      <w:r>
        <w:rPr>
          <w:rFonts w:hint="eastAsia" w:ascii="宋体" w:hAnsi="宋体" w:eastAsia="仿宋_GB2312" w:cs="宋体"/>
          <w:color w:val="000000"/>
          <w:kern w:val="0"/>
          <w:sz w:val="32"/>
          <w:szCs w:val="32"/>
        </w:rPr>
        <w:t> </w:t>
      </w:r>
      <w:r>
        <w:rPr>
          <w:rFonts w:ascii="宋体" w:hAnsi="宋体" w:eastAsia="仿宋_GB2312" w:cs="宋体"/>
          <w:color w:val="000000"/>
          <w:kern w:val="0"/>
          <w:sz w:val="32"/>
          <w:szCs w:val="32"/>
        </w:rPr>
        <w:t xml:space="preserve">   </w:t>
      </w:r>
      <w:r>
        <w:rPr>
          <w:rFonts w:ascii="仿宋_GB2312" w:eastAsia="仿宋_GB2312" w:cs="宋体"/>
          <w:color w:val="000000"/>
          <w:kern w:val="0"/>
          <w:sz w:val="32"/>
          <w:szCs w:val="32"/>
        </w:rPr>
        <w:t>收支预算总表支出栏、基本支出表、项目支出表按经济分类和支出功能分类科目编制，反映河北省</w:t>
      </w:r>
      <w:r>
        <w:rPr>
          <w:rFonts w:hint="eastAsia" w:ascii="仿宋_GB2312" w:eastAsia="仿宋_GB2312" w:cs="宋体"/>
          <w:color w:val="000000"/>
          <w:kern w:val="0"/>
          <w:sz w:val="32"/>
          <w:szCs w:val="32"/>
        </w:rPr>
        <w:t>2018</w:t>
      </w:r>
      <w:r>
        <w:rPr>
          <w:rFonts w:ascii="仿宋_GB2312" w:eastAsia="仿宋_GB2312" w:cs="宋体"/>
          <w:color w:val="000000"/>
          <w:kern w:val="0"/>
          <w:sz w:val="32"/>
          <w:szCs w:val="32"/>
        </w:rPr>
        <w:t>年度</w:t>
      </w:r>
      <w:r>
        <w:rPr>
          <w:rFonts w:hint="eastAsia" w:ascii="仿宋_GB2312" w:eastAsia="仿宋_GB2312" w:cs="宋体"/>
          <w:color w:val="000000"/>
          <w:kern w:val="0"/>
          <w:sz w:val="32"/>
          <w:szCs w:val="32"/>
        </w:rPr>
        <w:t>廊坊市广阳区人民代表大会常务委员会</w:t>
      </w:r>
      <w:r>
        <w:rPr>
          <w:rFonts w:ascii="仿宋_GB2312" w:eastAsia="仿宋_GB2312" w:cs="宋体"/>
          <w:color w:val="000000"/>
          <w:kern w:val="0"/>
          <w:sz w:val="32"/>
          <w:szCs w:val="32"/>
        </w:rPr>
        <w:t>预算中支出预算的总体情况。201</w:t>
      </w:r>
      <w:r>
        <w:rPr>
          <w:rFonts w:hint="eastAsia" w:ascii="仿宋_GB2312" w:eastAsia="仿宋_GB2312" w:cs="宋体"/>
          <w:color w:val="000000"/>
          <w:kern w:val="0"/>
          <w:sz w:val="32"/>
          <w:szCs w:val="32"/>
        </w:rPr>
        <w:t>8</w:t>
      </w:r>
      <w:r>
        <w:rPr>
          <w:rFonts w:ascii="仿宋_GB2312" w:eastAsia="仿宋_GB2312" w:cs="宋体"/>
          <w:color w:val="000000"/>
          <w:kern w:val="0"/>
          <w:sz w:val="32"/>
          <w:szCs w:val="32"/>
        </w:rPr>
        <w:t>年支出预算820.06万元，其中基本支出685.06万元，包括人员经</w:t>
      </w:r>
      <w:r>
        <w:rPr>
          <w:rFonts w:hint="eastAsia" w:ascii="仿宋_GB2312" w:eastAsia="仿宋_GB2312" w:cs="宋体"/>
          <w:color w:val="000000"/>
          <w:kern w:val="0"/>
          <w:sz w:val="32"/>
          <w:szCs w:val="32"/>
        </w:rPr>
        <w:t>费</w:t>
      </w:r>
      <w:r>
        <w:rPr>
          <w:rFonts w:ascii="仿宋_GB2312" w:eastAsia="仿宋_GB2312" w:cs="宋体"/>
          <w:color w:val="000000"/>
          <w:kern w:val="0"/>
          <w:sz w:val="32"/>
          <w:szCs w:val="32"/>
        </w:rPr>
        <w:t>596.41万元</w:t>
      </w:r>
      <w:r>
        <w:rPr>
          <w:rFonts w:hint="eastAsia" w:ascii="仿宋_GB2312" w:eastAsia="仿宋_GB2312" w:cs="宋体"/>
          <w:color w:val="000000"/>
          <w:kern w:val="0"/>
          <w:sz w:val="32"/>
          <w:szCs w:val="32"/>
        </w:rPr>
        <w:t>和日</w:t>
      </w:r>
      <w:r>
        <w:rPr>
          <w:rFonts w:ascii="仿宋_GB2312" w:eastAsia="仿宋_GB2312" w:cs="宋体"/>
          <w:color w:val="000000"/>
          <w:kern w:val="0"/>
          <w:sz w:val="32"/>
          <w:szCs w:val="32"/>
        </w:rPr>
        <w:t>常公用经</w:t>
      </w:r>
      <w:r>
        <w:rPr>
          <w:rFonts w:hint="eastAsia" w:ascii="仿宋_GB2312" w:eastAsia="仿宋_GB2312" w:cs="宋体"/>
          <w:color w:val="000000"/>
          <w:kern w:val="0"/>
          <w:sz w:val="32"/>
          <w:szCs w:val="32"/>
        </w:rPr>
        <w:t>费</w:t>
      </w:r>
      <w:r>
        <w:rPr>
          <w:rFonts w:ascii="仿宋_GB2312" w:eastAsia="仿宋_GB2312" w:cs="宋体"/>
          <w:color w:val="000000"/>
          <w:kern w:val="0"/>
          <w:sz w:val="32"/>
          <w:szCs w:val="32"/>
        </w:rPr>
        <w:t>88.65万元</w:t>
      </w:r>
      <w:r>
        <w:rPr>
          <w:rFonts w:hint="eastAsia" w:ascii="仿宋_GB2312" w:eastAsia="仿宋_GB2312" w:cs="宋体"/>
          <w:color w:val="000000"/>
          <w:kern w:val="0"/>
          <w:sz w:val="32"/>
          <w:szCs w:val="32"/>
        </w:rPr>
        <w:t>；</w:t>
      </w:r>
      <w:r>
        <w:rPr>
          <w:rFonts w:ascii="仿宋_GB2312" w:eastAsia="仿宋_GB2312" w:cs="宋体"/>
          <w:color w:val="000000"/>
          <w:kern w:val="0"/>
          <w:sz w:val="32"/>
          <w:szCs w:val="32"/>
        </w:rPr>
        <w:t>项目支出135</w:t>
      </w:r>
      <w:r>
        <w:rPr>
          <w:rFonts w:hint="eastAsia" w:ascii="仿宋_GB2312" w:eastAsia="仿宋_GB2312" w:cs="宋体"/>
          <w:color w:val="000000"/>
          <w:kern w:val="0"/>
          <w:sz w:val="32"/>
          <w:szCs w:val="32"/>
        </w:rPr>
        <w:t>万元</w:t>
      </w:r>
      <w:r>
        <w:rPr>
          <w:rFonts w:hint="eastAsia" w:ascii="仿宋_GB2312" w:eastAsia="仿宋_GB2312" w:cs="宋体"/>
          <w:color w:val="000000"/>
          <w:kern w:val="0"/>
          <w:sz w:val="32"/>
          <w:szCs w:val="32"/>
          <w:lang w:eastAsia="zh-CN"/>
        </w:rPr>
        <w:t>，主要为会议费</w:t>
      </w:r>
      <w:r>
        <w:rPr>
          <w:rFonts w:hint="eastAsia" w:ascii="仿宋_GB2312" w:eastAsia="仿宋_GB2312" w:cs="宋体"/>
          <w:color w:val="000000"/>
          <w:kern w:val="0"/>
          <w:sz w:val="32"/>
          <w:szCs w:val="32"/>
          <w:lang w:val="en-US" w:eastAsia="zh-CN"/>
        </w:rPr>
        <w:t>40万元，工作经费65万元，人大代表活动费30万元</w:t>
      </w:r>
      <w:r>
        <w:rPr>
          <w:rFonts w:hint="eastAsia" w:ascii="仿宋_GB2312" w:eastAsia="仿宋_GB2312" w:cs="宋体"/>
          <w:color w:val="000000"/>
          <w:kern w:val="0"/>
          <w:sz w:val="32"/>
          <w:szCs w:val="32"/>
        </w:rPr>
        <w:t>。</w:t>
      </w:r>
      <w:r>
        <w:rPr>
          <w:rFonts w:hint="eastAsia" w:ascii="宋体" w:hAnsi="宋体" w:eastAsia="楷体_GB2312" w:cs="宋体"/>
          <w:b/>
          <w:bCs/>
          <w:color w:val="000000"/>
          <w:kern w:val="0"/>
          <w:sz w:val="32"/>
          <w:szCs w:val="32"/>
        </w:rPr>
        <w:t>   </w:t>
      </w:r>
    </w:p>
    <w:p>
      <w:pPr>
        <w:widowControl/>
        <w:spacing w:line="570" w:lineRule="exact"/>
        <w:ind w:firstLine="643" w:firstLineChars="200"/>
        <w:jc w:val="left"/>
        <w:rPr>
          <w:rFonts w:hint="eastAsia" w:ascii="仿宋_GB2312" w:eastAsia="仿宋_GB2312" w:cs="宋体"/>
          <w:color w:val="000000"/>
          <w:kern w:val="0"/>
          <w:sz w:val="32"/>
          <w:szCs w:val="32"/>
        </w:rPr>
      </w:pPr>
      <w:r>
        <w:rPr>
          <w:rFonts w:hint="eastAsia" w:ascii="宋体" w:hAnsi="宋体" w:eastAsia="楷体_GB2312" w:cs="宋体"/>
          <w:b/>
          <w:bCs/>
          <w:color w:val="000000"/>
          <w:kern w:val="0"/>
          <w:sz w:val="32"/>
          <w:szCs w:val="32"/>
        </w:rPr>
        <w:t xml:space="preserve"> </w:t>
      </w:r>
      <w:r>
        <w:rPr>
          <w:rFonts w:hint="eastAsia" w:ascii="楷体_GB2312" w:eastAsia="楷体_GB2312" w:cs="宋体"/>
          <w:b/>
          <w:bCs/>
          <w:color w:val="000000"/>
          <w:kern w:val="0"/>
          <w:sz w:val="32"/>
          <w:szCs w:val="32"/>
        </w:rPr>
        <w:t>3、比上年增减情况</w:t>
      </w:r>
      <w:r>
        <w:rPr>
          <w:rFonts w:hint="eastAsia" w:ascii="楷体_GB2312" w:eastAsia="楷体_GB2312" w:cs="宋体"/>
          <w:color w:val="000000"/>
          <w:kern w:val="0"/>
          <w:sz w:val="32"/>
          <w:szCs w:val="32"/>
        </w:rPr>
        <w:br w:type="textWrapping"/>
      </w:r>
      <w:r>
        <w:rPr>
          <w:rFonts w:hint="eastAsia" w:ascii="宋体" w:hAnsi="宋体" w:eastAsia="仿宋_GB2312" w:cs="宋体"/>
          <w:color w:val="000000"/>
          <w:kern w:val="0"/>
          <w:sz w:val="32"/>
          <w:szCs w:val="32"/>
        </w:rPr>
        <w:t>  </w:t>
      </w:r>
      <w:r>
        <w:rPr>
          <w:rFonts w:hint="eastAsia" w:ascii="仿宋_GB2312" w:eastAsia="仿宋_GB2312" w:cs="宋体"/>
          <w:color w:val="000000"/>
          <w:kern w:val="0"/>
          <w:sz w:val="32"/>
          <w:szCs w:val="32"/>
        </w:rPr>
        <w:t>2017年预算收支安排</w:t>
      </w:r>
      <w:r>
        <w:rPr>
          <w:rFonts w:ascii="仿宋_GB2312" w:eastAsia="仿宋_GB2312" w:cs="宋体"/>
          <w:color w:val="000000"/>
          <w:kern w:val="0"/>
          <w:sz w:val="32"/>
          <w:szCs w:val="32"/>
        </w:rPr>
        <w:t>820.06</w:t>
      </w:r>
      <w:r>
        <w:rPr>
          <w:rFonts w:hint="eastAsia" w:ascii="仿宋_GB2312" w:eastAsia="仿宋_GB2312" w:cs="宋体"/>
          <w:color w:val="000000"/>
          <w:kern w:val="0"/>
          <w:sz w:val="32"/>
          <w:szCs w:val="32"/>
        </w:rPr>
        <w:t>万元，较201</w:t>
      </w:r>
      <w:r>
        <w:rPr>
          <w:rFonts w:ascii="仿宋_GB2312" w:eastAsia="仿宋_GB2312" w:cs="宋体"/>
          <w:color w:val="000000"/>
          <w:kern w:val="0"/>
          <w:sz w:val="32"/>
          <w:szCs w:val="32"/>
        </w:rPr>
        <w:t>7</w:t>
      </w:r>
      <w:r>
        <w:rPr>
          <w:rFonts w:hint="eastAsia" w:ascii="仿宋_GB2312" w:eastAsia="仿宋_GB2312" w:cs="宋体"/>
          <w:color w:val="000000"/>
          <w:kern w:val="0"/>
          <w:sz w:val="32"/>
          <w:szCs w:val="32"/>
        </w:rPr>
        <w:t>年预算增加</w:t>
      </w:r>
      <w:r>
        <w:rPr>
          <w:rFonts w:ascii="仿宋_GB2312" w:eastAsia="仿宋_GB2312" w:cs="宋体"/>
          <w:color w:val="000000"/>
          <w:kern w:val="0"/>
          <w:sz w:val="32"/>
          <w:szCs w:val="32"/>
        </w:rPr>
        <w:t>214.02</w:t>
      </w:r>
      <w:r>
        <w:rPr>
          <w:rFonts w:hint="eastAsia" w:ascii="仿宋_GB2312" w:eastAsia="仿宋_GB2312" w:cs="宋体"/>
          <w:color w:val="000000"/>
          <w:kern w:val="0"/>
          <w:sz w:val="32"/>
          <w:szCs w:val="32"/>
        </w:rPr>
        <w:t>万元，其中：基本支出增加</w:t>
      </w:r>
      <w:r>
        <w:rPr>
          <w:rFonts w:ascii="仿宋_GB2312" w:eastAsia="仿宋_GB2312" w:cs="宋体"/>
          <w:color w:val="000000"/>
          <w:kern w:val="0"/>
          <w:sz w:val="32"/>
          <w:szCs w:val="32"/>
        </w:rPr>
        <w:t>79.02</w:t>
      </w:r>
      <w:r>
        <w:rPr>
          <w:rFonts w:hint="eastAsia" w:ascii="仿宋_GB2312" w:eastAsia="仿宋_GB2312" w:cs="宋体"/>
          <w:color w:val="000000"/>
          <w:kern w:val="0"/>
          <w:sz w:val="32"/>
          <w:szCs w:val="32"/>
        </w:rPr>
        <w:t>万元，主要为增加人员经费支出；项目支出减少</w:t>
      </w:r>
      <w:r>
        <w:rPr>
          <w:rFonts w:ascii="仿宋_GB2312" w:eastAsia="仿宋_GB2312" w:cs="宋体"/>
          <w:color w:val="000000"/>
          <w:kern w:val="0"/>
          <w:sz w:val="32"/>
          <w:szCs w:val="32"/>
        </w:rPr>
        <w:t>135</w:t>
      </w:r>
      <w:r>
        <w:rPr>
          <w:rFonts w:hint="eastAsia" w:ascii="仿宋_GB2312" w:eastAsia="仿宋_GB2312" w:cs="宋体"/>
          <w:color w:val="000000"/>
          <w:kern w:val="0"/>
          <w:sz w:val="32"/>
          <w:szCs w:val="32"/>
        </w:rPr>
        <w:t>万元，主要为</w:t>
      </w:r>
      <w:r>
        <w:rPr>
          <w:rFonts w:ascii="仿宋_GB2312" w:eastAsia="仿宋_GB2312" w:cs="宋体"/>
          <w:color w:val="000000"/>
          <w:kern w:val="0"/>
          <w:sz w:val="32"/>
          <w:szCs w:val="32"/>
        </w:rPr>
        <w:t>增加人大会议费</w:t>
      </w:r>
      <w:r>
        <w:rPr>
          <w:rFonts w:hint="eastAsia" w:ascii="仿宋_GB2312" w:eastAsia="仿宋_GB2312" w:cs="宋体"/>
          <w:color w:val="000000"/>
          <w:kern w:val="0"/>
          <w:sz w:val="32"/>
          <w:szCs w:val="32"/>
          <w:lang w:val="en-US" w:eastAsia="zh-CN"/>
        </w:rPr>
        <w:t>40万元</w:t>
      </w:r>
      <w:r>
        <w:rPr>
          <w:rFonts w:ascii="仿宋_GB2312" w:eastAsia="仿宋_GB2312" w:cs="宋体"/>
          <w:color w:val="000000"/>
          <w:kern w:val="0"/>
          <w:sz w:val="32"/>
          <w:szCs w:val="32"/>
        </w:rPr>
        <w:t>、代表活动经费</w:t>
      </w:r>
      <w:r>
        <w:rPr>
          <w:rFonts w:hint="eastAsia" w:ascii="仿宋_GB2312" w:eastAsia="仿宋_GB2312" w:cs="宋体"/>
          <w:color w:val="000000"/>
          <w:kern w:val="0"/>
          <w:sz w:val="32"/>
          <w:szCs w:val="32"/>
          <w:lang w:val="en-US" w:eastAsia="zh-CN"/>
        </w:rPr>
        <w:t>30万元、工作经费65万元</w:t>
      </w:r>
      <w:r>
        <w:rPr>
          <w:rFonts w:ascii="仿宋_GB2312" w:eastAsia="仿宋_GB2312" w:cs="宋体"/>
          <w:color w:val="000000"/>
          <w:kern w:val="0"/>
          <w:sz w:val="32"/>
          <w:szCs w:val="32"/>
        </w:rPr>
        <w:t>的项目支出</w:t>
      </w:r>
      <w:r>
        <w:rPr>
          <w:rFonts w:hint="eastAsia" w:ascii="仿宋_GB2312" w:eastAsia="仿宋_GB2312" w:cs="宋体"/>
          <w:color w:val="000000"/>
          <w:kern w:val="0"/>
          <w:sz w:val="32"/>
          <w:szCs w:val="32"/>
        </w:rPr>
        <w:t>。</w:t>
      </w:r>
      <w:r>
        <w:rPr>
          <w:rFonts w:hint="eastAsia" w:ascii="仿宋_GB2312" w:eastAsia="仿宋_GB2312" w:cs="宋体"/>
          <w:color w:val="000000"/>
          <w:kern w:val="0"/>
          <w:sz w:val="32"/>
          <w:szCs w:val="32"/>
        </w:rPr>
        <w:br w:type="textWrapping"/>
      </w:r>
      <w:r>
        <w:rPr>
          <w:rFonts w:hint="eastAsia" w:ascii="黑体" w:eastAsia="黑体" w:cs="宋体"/>
          <w:b/>
          <w:bCs/>
          <w:color w:val="000000"/>
          <w:kern w:val="0"/>
          <w:sz w:val="32"/>
          <w:szCs w:val="32"/>
        </w:rPr>
        <w:t>三、机关运行经费安排情况</w:t>
      </w:r>
      <w:r>
        <w:rPr>
          <w:rFonts w:hint="eastAsia" w:ascii="黑体" w:eastAsia="黑体" w:cs="宋体"/>
          <w:color w:val="000000"/>
          <w:kern w:val="0"/>
          <w:sz w:val="32"/>
          <w:szCs w:val="32"/>
        </w:rPr>
        <w:br w:type="textWrapping"/>
      </w:r>
      <w:r>
        <w:rPr>
          <w:rFonts w:hint="eastAsia" w:ascii="宋体" w:hAnsi="宋体" w:eastAsia="仿宋_GB2312" w:cs="宋体"/>
          <w:color w:val="000000"/>
          <w:kern w:val="0"/>
          <w:sz w:val="32"/>
          <w:szCs w:val="32"/>
        </w:rPr>
        <w:t> </w:t>
      </w:r>
      <w:r>
        <w:rPr>
          <w:rFonts w:hint="eastAsia" w:ascii="宋体" w:hAnsi="宋体" w:eastAsia="仿宋_GB2312" w:cs="宋体"/>
          <w:color w:val="000000"/>
          <w:kern w:val="0"/>
          <w:sz w:val="32"/>
          <w:szCs w:val="32"/>
          <w:lang w:val="en-US" w:eastAsia="zh-CN"/>
        </w:rPr>
        <w:t xml:space="preserve"> </w:t>
      </w:r>
      <w:r>
        <w:rPr>
          <w:rFonts w:ascii="宋体" w:hAnsi="宋体" w:eastAsia="仿宋_GB2312" w:cs="宋体"/>
          <w:color w:val="000000"/>
          <w:kern w:val="0"/>
          <w:sz w:val="32"/>
          <w:szCs w:val="32"/>
        </w:rPr>
        <w:t xml:space="preserve"> </w:t>
      </w:r>
      <w:r>
        <w:rPr>
          <w:rFonts w:hint="eastAsia" w:ascii="仿宋_GB2312" w:eastAsia="仿宋_GB2312" w:cs="宋体"/>
          <w:color w:val="000000"/>
          <w:kern w:val="0"/>
          <w:sz w:val="32"/>
          <w:szCs w:val="32"/>
        </w:rPr>
        <w:t>201</w:t>
      </w:r>
      <w:r>
        <w:rPr>
          <w:rFonts w:ascii="仿宋_GB2312" w:eastAsia="仿宋_GB2312" w:cs="宋体"/>
          <w:color w:val="000000"/>
          <w:kern w:val="0"/>
          <w:sz w:val="32"/>
          <w:szCs w:val="32"/>
        </w:rPr>
        <w:t>8</w:t>
      </w:r>
      <w:r>
        <w:rPr>
          <w:rFonts w:hint="eastAsia" w:ascii="仿宋_GB2312" w:eastAsia="仿宋_GB2312" w:cs="宋体"/>
          <w:color w:val="000000"/>
          <w:kern w:val="0"/>
          <w:sz w:val="32"/>
          <w:szCs w:val="32"/>
        </w:rPr>
        <w:t>年预算安排我部门机关运行经费</w:t>
      </w:r>
      <w:r>
        <w:rPr>
          <w:rFonts w:ascii="仿宋_GB2312" w:eastAsia="仿宋_GB2312" w:cs="宋体"/>
          <w:color w:val="000000"/>
          <w:kern w:val="0"/>
          <w:sz w:val="32"/>
          <w:szCs w:val="32"/>
        </w:rPr>
        <w:t>2.72</w:t>
      </w:r>
      <w:r>
        <w:rPr>
          <w:rFonts w:hint="eastAsia" w:ascii="仿宋_GB2312" w:eastAsia="仿宋_GB2312" w:cs="宋体"/>
          <w:color w:val="000000"/>
          <w:kern w:val="0"/>
          <w:sz w:val="32"/>
          <w:szCs w:val="32"/>
        </w:rPr>
        <w:t>万元，其中办公经费</w:t>
      </w:r>
      <w:r>
        <w:rPr>
          <w:rFonts w:ascii="仿宋_GB2312" w:eastAsia="仿宋_GB2312" w:cs="宋体"/>
          <w:color w:val="000000"/>
          <w:kern w:val="0"/>
          <w:sz w:val="32"/>
          <w:szCs w:val="32"/>
        </w:rPr>
        <w:t>2.72</w:t>
      </w:r>
      <w:r>
        <w:rPr>
          <w:rFonts w:hint="eastAsia" w:ascii="仿宋_GB2312" w:eastAsia="仿宋_GB2312" w:cs="宋体"/>
          <w:color w:val="000000"/>
          <w:kern w:val="0"/>
          <w:sz w:val="32"/>
          <w:szCs w:val="32"/>
        </w:rPr>
        <w:t>万元，其他业务费无。主要用于机关办公区的日常维修、办公用房水电费、办公用房取暖费、办公用房物业管理费等日常运行支出</w:t>
      </w:r>
      <w:r>
        <w:rPr>
          <w:rFonts w:ascii="仿宋_GB2312" w:eastAsia="仿宋_GB2312" w:cs="宋体"/>
          <w:color w:val="000000"/>
          <w:kern w:val="0"/>
          <w:sz w:val="32"/>
          <w:szCs w:val="32"/>
        </w:rPr>
        <w:t>。</w:t>
      </w:r>
    </w:p>
    <w:p>
      <w:pPr>
        <w:widowControl/>
        <w:jc w:val="left"/>
        <w:rPr>
          <w:rFonts w:ascii="仿宋_GB2312" w:eastAsia="仿宋_GB2312" w:cs="宋体"/>
          <w:color w:val="000000"/>
          <w:kern w:val="0"/>
          <w:sz w:val="32"/>
          <w:szCs w:val="32"/>
        </w:rPr>
      </w:pPr>
      <w:r>
        <w:rPr>
          <w:rFonts w:hint="eastAsia" w:ascii="黑体" w:eastAsia="黑体" w:cs="宋体"/>
          <w:b/>
          <w:bCs/>
          <w:color w:val="000000"/>
          <w:kern w:val="0"/>
          <w:sz w:val="32"/>
          <w:szCs w:val="32"/>
        </w:rPr>
        <w:t>四、财政拨款“三公”经费预算情况及增减变化原因</w:t>
      </w:r>
      <w:r>
        <w:rPr>
          <w:rFonts w:hint="eastAsia" w:ascii="黑体" w:eastAsia="黑体" w:cs="宋体"/>
          <w:color w:val="000000"/>
          <w:kern w:val="0"/>
          <w:sz w:val="32"/>
          <w:szCs w:val="32"/>
        </w:rPr>
        <w:br w:type="textWrapping"/>
      </w:r>
      <w:r>
        <w:rPr>
          <w:rFonts w:hint="eastAsia" w:ascii="宋体" w:hAnsi="宋体" w:eastAsia="仿宋_GB2312" w:cs="宋体"/>
          <w:color w:val="000000"/>
          <w:kern w:val="0"/>
          <w:sz w:val="32"/>
          <w:szCs w:val="32"/>
        </w:rPr>
        <w:t>  </w:t>
      </w:r>
      <w:r>
        <w:rPr>
          <w:rFonts w:hint="eastAsia" w:ascii="仿宋_GB2312" w:eastAsia="仿宋_GB2312" w:cs="宋体"/>
          <w:color w:val="000000"/>
          <w:kern w:val="0"/>
          <w:sz w:val="32"/>
          <w:szCs w:val="32"/>
        </w:rPr>
        <w:t>201</w:t>
      </w:r>
      <w:r>
        <w:rPr>
          <w:rFonts w:ascii="仿宋_GB2312" w:eastAsia="仿宋_GB2312" w:cs="宋体"/>
          <w:color w:val="000000"/>
          <w:kern w:val="0"/>
          <w:sz w:val="32"/>
          <w:szCs w:val="32"/>
        </w:rPr>
        <w:t>8</w:t>
      </w:r>
      <w:r>
        <w:rPr>
          <w:rFonts w:hint="eastAsia" w:ascii="仿宋_GB2312" w:eastAsia="仿宋_GB2312" w:cs="宋体"/>
          <w:color w:val="000000"/>
          <w:kern w:val="0"/>
          <w:sz w:val="32"/>
          <w:szCs w:val="32"/>
        </w:rPr>
        <w:t>年，我部门“三公”经费预算安排</w:t>
      </w:r>
      <w:r>
        <w:rPr>
          <w:rFonts w:ascii="仿宋_GB2312" w:eastAsia="仿宋_GB2312" w:cs="宋体"/>
          <w:color w:val="000000"/>
          <w:kern w:val="0"/>
          <w:sz w:val="32"/>
          <w:szCs w:val="32"/>
        </w:rPr>
        <w:t>39.2</w:t>
      </w:r>
      <w:r>
        <w:rPr>
          <w:rFonts w:hint="eastAsia" w:ascii="仿宋_GB2312" w:eastAsia="仿宋_GB2312" w:cs="宋体"/>
          <w:color w:val="000000"/>
          <w:kern w:val="0"/>
          <w:sz w:val="32"/>
          <w:szCs w:val="32"/>
        </w:rPr>
        <w:t>万元，其中因公出国（境）费0万元；公务用车购置及运维费</w:t>
      </w:r>
      <w:r>
        <w:rPr>
          <w:rFonts w:ascii="仿宋_GB2312" w:eastAsia="仿宋_GB2312" w:cs="宋体"/>
          <w:color w:val="000000"/>
          <w:kern w:val="0"/>
          <w:sz w:val="32"/>
          <w:szCs w:val="32"/>
        </w:rPr>
        <w:t>9.2</w:t>
      </w:r>
      <w:r>
        <w:rPr>
          <w:rFonts w:hint="eastAsia" w:ascii="仿宋_GB2312" w:eastAsia="仿宋_GB2312" w:cs="宋体"/>
          <w:color w:val="000000"/>
          <w:kern w:val="0"/>
          <w:sz w:val="32"/>
          <w:szCs w:val="32"/>
        </w:rPr>
        <w:t>万元（其中：公务用车购置费为0万元，公务用车运行费为</w:t>
      </w:r>
      <w:r>
        <w:rPr>
          <w:rFonts w:ascii="仿宋_GB2312" w:eastAsia="仿宋_GB2312" w:cs="宋体"/>
          <w:color w:val="000000"/>
          <w:kern w:val="0"/>
          <w:sz w:val="32"/>
          <w:szCs w:val="32"/>
        </w:rPr>
        <w:t>9.2</w:t>
      </w:r>
      <w:r>
        <w:rPr>
          <w:rFonts w:hint="eastAsia" w:ascii="仿宋_GB2312" w:eastAsia="仿宋_GB2312" w:cs="宋体"/>
          <w:color w:val="000000"/>
          <w:kern w:val="0"/>
          <w:sz w:val="32"/>
          <w:szCs w:val="32"/>
        </w:rPr>
        <w:t>万元)；公务接待费</w:t>
      </w:r>
      <w:r>
        <w:rPr>
          <w:rFonts w:ascii="仿宋_GB2312" w:eastAsia="仿宋_GB2312" w:cs="宋体"/>
          <w:color w:val="000000"/>
          <w:kern w:val="0"/>
          <w:sz w:val="32"/>
          <w:szCs w:val="32"/>
        </w:rPr>
        <w:t>30</w:t>
      </w:r>
      <w:r>
        <w:rPr>
          <w:rFonts w:hint="eastAsia" w:ascii="仿宋_GB2312" w:eastAsia="仿宋_GB2312" w:cs="宋体"/>
          <w:color w:val="000000"/>
          <w:kern w:val="0"/>
          <w:sz w:val="32"/>
          <w:szCs w:val="32"/>
        </w:rPr>
        <w:t>万元。</w:t>
      </w:r>
      <w:r>
        <w:rPr>
          <w:rFonts w:ascii="仿宋_GB2312" w:eastAsia="仿宋_GB2312" w:cs="宋体"/>
          <w:color w:val="000000"/>
          <w:kern w:val="0"/>
          <w:sz w:val="32"/>
          <w:szCs w:val="32"/>
        </w:rPr>
        <w:t>较</w:t>
      </w:r>
      <w:r>
        <w:rPr>
          <w:rFonts w:hint="eastAsia" w:ascii="仿宋_GB2312" w:eastAsia="仿宋_GB2312" w:cs="宋体"/>
          <w:color w:val="000000"/>
          <w:kern w:val="0"/>
          <w:sz w:val="32"/>
          <w:szCs w:val="32"/>
        </w:rPr>
        <w:t>201</w:t>
      </w:r>
      <w:r>
        <w:rPr>
          <w:rFonts w:ascii="仿宋_GB2312" w:eastAsia="仿宋_GB2312" w:cs="宋体"/>
          <w:color w:val="000000"/>
          <w:kern w:val="0"/>
          <w:sz w:val="32"/>
          <w:szCs w:val="32"/>
        </w:rPr>
        <w:t>7</w:t>
      </w:r>
      <w:r>
        <w:rPr>
          <w:rFonts w:hint="eastAsia" w:ascii="仿宋_GB2312" w:eastAsia="仿宋_GB2312" w:cs="宋体"/>
          <w:color w:val="000000"/>
          <w:kern w:val="0"/>
          <w:sz w:val="32"/>
          <w:szCs w:val="32"/>
        </w:rPr>
        <w:t>年增公务用车运行费</w:t>
      </w:r>
      <w:r>
        <w:rPr>
          <w:rFonts w:ascii="仿宋_GB2312" w:eastAsia="仿宋_GB2312" w:cs="宋体"/>
          <w:color w:val="000000"/>
          <w:kern w:val="0"/>
          <w:sz w:val="32"/>
          <w:szCs w:val="32"/>
        </w:rPr>
        <w:t>9.2</w:t>
      </w:r>
      <w:r>
        <w:rPr>
          <w:rFonts w:hint="eastAsia" w:ascii="仿宋_GB2312" w:eastAsia="仿宋_GB2312" w:cs="宋体"/>
          <w:color w:val="000000"/>
          <w:kern w:val="0"/>
          <w:sz w:val="32"/>
          <w:szCs w:val="32"/>
        </w:rPr>
        <w:t>万元，</w:t>
      </w:r>
      <w:r>
        <w:rPr>
          <w:rFonts w:ascii="仿宋_GB2312" w:eastAsia="仿宋_GB2312" w:cs="宋体"/>
          <w:color w:val="000000"/>
          <w:kern w:val="0"/>
          <w:sz w:val="32"/>
          <w:szCs w:val="32"/>
        </w:rPr>
        <w:t>公务接待费增加30万元，</w:t>
      </w:r>
      <w:r>
        <w:rPr>
          <w:rFonts w:hint="eastAsia" w:ascii="仿宋_GB2312" w:eastAsia="仿宋_GB2312" w:cs="宋体"/>
          <w:color w:val="000000"/>
          <w:kern w:val="0"/>
          <w:sz w:val="32"/>
          <w:szCs w:val="32"/>
        </w:rPr>
        <w:t>主要原因是2017年</w:t>
      </w:r>
      <w:r>
        <w:rPr>
          <w:rFonts w:ascii="仿宋_GB2312" w:eastAsia="仿宋_GB2312" w:cs="宋体"/>
          <w:color w:val="000000"/>
          <w:kern w:val="0"/>
          <w:sz w:val="32"/>
          <w:szCs w:val="32"/>
        </w:rPr>
        <w:t>未安排</w:t>
      </w:r>
      <w:r>
        <w:rPr>
          <w:rFonts w:hint="eastAsia" w:ascii="仿宋_GB2312" w:eastAsia="仿宋_GB2312" w:cs="宋体"/>
          <w:color w:val="000000"/>
          <w:kern w:val="0"/>
          <w:sz w:val="32"/>
          <w:szCs w:val="32"/>
        </w:rPr>
        <w:t>预算。</w:t>
      </w:r>
    </w:p>
    <w:p>
      <w:pPr>
        <w:widowControl/>
        <w:jc w:val="left"/>
        <w:rPr>
          <w:rFonts w:hint="eastAsia" w:ascii="宋体" w:hAnsi="宋体" w:eastAsia="仿宋_GB2312" w:cs="宋体"/>
          <w:kern w:val="0"/>
          <w:sz w:val="32"/>
          <w:szCs w:val="32"/>
        </w:rPr>
      </w:pPr>
      <w:r>
        <w:rPr>
          <w:rFonts w:hint="eastAsia" w:ascii="黑体" w:eastAsia="黑体" w:cs="宋体"/>
          <w:b/>
          <w:bCs/>
          <w:color w:val="000000"/>
          <w:kern w:val="0"/>
          <w:sz w:val="32"/>
          <w:szCs w:val="32"/>
        </w:rPr>
        <w:t>五、绩效预算信息</w:t>
      </w:r>
      <w:r>
        <w:rPr>
          <w:rFonts w:hint="eastAsia" w:ascii="黑体" w:eastAsia="黑体" w:cs="宋体"/>
          <w:color w:val="000000"/>
          <w:kern w:val="0"/>
          <w:sz w:val="32"/>
          <w:szCs w:val="32"/>
        </w:rPr>
        <w:br w:type="textWrapping"/>
      </w:r>
      <w:r>
        <w:rPr>
          <w:rFonts w:hint="eastAsia" w:ascii="仿宋_GB2312" w:eastAsia="仿宋_GB2312" w:cs="宋体"/>
          <w:b/>
          <w:bCs/>
          <w:color w:val="000000"/>
          <w:kern w:val="0"/>
          <w:sz w:val="32"/>
          <w:szCs w:val="32"/>
        </w:rPr>
        <w:t>总体绩效目标：</w:t>
      </w:r>
      <w:r>
        <w:rPr>
          <w:rFonts w:hint="eastAsia" w:ascii="仿宋_GB2312" w:eastAsia="仿宋_GB2312" w:cs="宋体"/>
          <w:color w:val="000000"/>
          <w:kern w:val="0"/>
          <w:sz w:val="32"/>
          <w:szCs w:val="32"/>
        </w:rPr>
        <w:br w:type="textWrapping"/>
      </w:r>
      <w:r>
        <w:rPr>
          <w:rFonts w:hint="eastAsia" w:ascii="仿宋_GB2312" w:eastAsia="仿宋_GB2312" w:cs="宋体"/>
          <w:color w:val="000000"/>
          <w:kern w:val="0"/>
          <w:sz w:val="32"/>
          <w:szCs w:val="32"/>
          <w:lang w:val="en-US" w:eastAsia="zh-CN"/>
        </w:rPr>
        <w:t xml:space="preserve">    </w:t>
      </w:r>
      <w:r>
        <w:rPr>
          <w:rFonts w:hint="eastAsia" w:ascii="仿宋_GB2312" w:eastAsia="仿宋_GB2312" w:cs="宋体"/>
          <w:color w:val="000000"/>
          <w:kern w:val="0"/>
          <w:sz w:val="32"/>
          <w:szCs w:val="32"/>
        </w:rPr>
        <w:t>在本行政区域内，保证宪法、法律、行政法规和上级人民代表大会及其常委会决议的遵守和执行；领导、主持区人民代表大会代表的选举；召集区人民代表大会会议；讨论、决定本区内的政治、经济、教育、科学、文化、卫生、环境和资源保护、民政、民族等工作的重大事项；根据区人民政府的建议，决定对本县内的国民经济和社会发展计划、预算的部分变更。</w:t>
      </w:r>
      <w:r>
        <w:rPr>
          <w:rFonts w:hint="eastAsia" w:ascii="仿宋_GB2312" w:eastAsia="仿宋_GB2312" w:cs="宋体"/>
          <w:color w:val="000000"/>
          <w:kern w:val="0"/>
          <w:sz w:val="32"/>
          <w:szCs w:val="32"/>
        </w:rPr>
        <w:br w:type="textWrapping"/>
      </w:r>
      <w:r>
        <w:rPr>
          <w:rFonts w:hint="eastAsia" w:ascii="仿宋_GB2312" w:eastAsia="仿宋_GB2312" w:cs="宋体"/>
          <w:color w:val="000000"/>
          <w:kern w:val="0"/>
          <w:sz w:val="32"/>
          <w:szCs w:val="32"/>
        </w:rPr>
        <w:t>监督区人民政府、人民法院和人民检察院的工作，联系区人民代表大会代表，受理人民群众对上述机关和国家工作人员的申诉和意见；撤销乡镇人民代表大会及人大主席团的不适当的决议；撤销区人民政府的不适当的决议和命令。</w:t>
      </w:r>
      <w:r>
        <w:rPr>
          <w:rFonts w:hint="eastAsia" w:ascii="仿宋_GB2312" w:eastAsia="仿宋_GB2312" w:cs="宋体"/>
          <w:color w:val="000000"/>
          <w:kern w:val="0"/>
          <w:sz w:val="32"/>
          <w:szCs w:val="32"/>
        </w:rPr>
        <w:br w:type="textWrapping"/>
      </w:r>
      <w:r>
        <w:rPr>
          <w:rFonts w:hint="eastAsia" w:ascii="仿宋_GB2312" w:eastAsia="仿宋_GB2312" w:cs="宋体"/>
          <w:color w:val="000000"/>
          <w:kern w:val="0"/>
          <w:sz w:val="32"/>
          <w:szCs w:val="32"/>
        </w:rPr>
        <w:t>在区人民代表大会闭会期间，决定副区长的个别任免；在区长和人民法院院长、人民检察院检察长因故不能担任职务的时候，从区人民政府、人民法院、人民检察院副职领导人员中决定代理的人选（决定代理检察长，须报市人民检察院和人大常委会备案）。根据区长的提名，决定区人民政府办公室主任和政府职能局局长的任免；按照人民法院组织法和人民检察院组织法的规定，根据法院院长或检察院检察长的提请，任免人民法院副院长、庭长、副庭长、审判委员会委员、审判员，任免人民检察院副检察长、检察委员会委员、检察员。</w:t>
      </w:r>
      <w:r>
        <w:rPr>
          <w:rFonts w:hint="eastAsia" w:ascii="仿宋_GB2312" w:eastAsia="仿宋_GB2312" w:cs="宋体"/>
          <w:color w:val="000000"/>
          <w:kern w:val="0"/>
          <w:sz w:val="32"/>
          <w:szCs w:val="32"/>
        </w:rPr>
        <w:br w:type="textWrapping"/>
      </w:r>
      <w:r>
        <w:rPr>
          <w:rFonts w:hint="eastAsia" w:ascii="仿宋_GB2312" w:eastAsia="仿宋_GB2312" w:cs="宋体"/>
          <w:color w:val="000000"/>
          <w:kern w:val="0"/>
          <w:sz w:val="32"/>
          <w:szCs w:val="32"/>
        </w:rPr>
        <w:t>在区人民代表大会闭会期间，补选市人民代表大会出缺的代表和罢免个别代表等。</w:t>
      </w:r>
      <w:r>
        <w:rPr>
          <w:rFonts w:hint="eastAsia" w:ascii="仿宋_GB2312" w:eastAsia="仿宋_GB2312" w:cs="宋体"/>
          <w:color w:val="000000"/>
          <w:kern w:val="0"/>
          <w:sz w:val="32"/>
          <w:szCs w:val="32"/>
        </w:rPr>
        <w:br w:type="textWrapping"/>
      </w:r>
      <w:r>
        <w:rPr>
          <w:rFonts w:hint="eastAsia" w:ascii="宋体" w:hAnsi="宋体" w:eastAsia="仿宋_GB2312" w:cs="宋体"/>
          <w:color w:val="000000"/>
          <w:kern w:val="0"/>
          <w:sz w:val="32"/>
          <w:szCs w:val="32"/>
        </w:rPr>
        <w:t>    </w:t>
      </w:r>
      <w:r>
        <w:rPr>
          <w:rFonts w:hint="eastAsia" w:ascii="仿宋_GB2312" w:eastAsia="仿宋_GB2312" w:cs="宋体"/>
          <w:b/>
          <w:bCs/>
          <w:color w:val="000000"/>
          <w:kern w:val="0"/>
          <w:sz w:val="32"/>
          <w:szCs w:val="32"/>
        </w:rPr>
        <w:t>职责分类绩效目标：</w:t>
      </w:r>
      <w:r>
        <w:rPr>
          <w:rFonts w:hint="eastAsia" w:ascii="仿宋_GB2312" w:eastAsia="仿宋_GB2312" w:cs="宋体"/>
          <w:color w:val="000000"/>
          <w:kern w:val="0"/>
          <w:sz w:val="32"/>
          <w:szCs w:val="32"/>
        </w:rPr>
        <w:br w:type="textWrapping"/>
      </w:r>
      <w:r>
        <w:rPr>
          <w:rFonts w:hint="eastAsia" w:ascii="宋体" w:hAnsi="宋体" w:eastAsia="仿宋_GB2312" w:cs="宋体"/>
          <w:color w:val="000000"/>
          <w:kern w:val="0"/>
          <w:sz w:val="32"/>
          <w:szCs w:val="32"/>
        </w:rPr>
        <w:t xml:space="preserve">    </w:t>
      </w:r>
      <w:r>
        <w:rPr>
          <w:rFonts w:hint="eastAsia" w:ascii="仿宋_GB2312" w:eastAsia="仿宋_GB2312" w:cs="宋体"/>
          <w:color w:val="000000"/>
          <w:kern w:val="0"/>
          <w:sz w:val="32"/>
          <w:szCs w:val="32"/>
        </w:rPr>
        <w:t>一、人大监督：提高法规质量，保障其有效实施；发挥常委及代表的桥梁纽带作用，集中反映民意，促进依法履职。</w:t>
      </w:r>
      <w:r>
        <w:rPr>
          <w:rFonts w:hint="eastAsia" w:ascii="仿宋_GB2312" w:eastAsia="仿宋_GB2312" w:cs="宋体"/>
          <w:color w:val="000000"/>
          <w:kern w:val="0"/>
          <w:sz w:val="32"/>
          <w:szCs w:val="32"/>
        </w:rPr>
        <w:br w:type="textWrapping"/>
      </w:r>
      <w:r>
        <w:rPr>
          <w:rFonts w:hint="eastAsia" w:ascii="宋体" w:hAnsi="宋体" w:eastAsia="仿宋_GB2312" w:cs="宋体"/>
          <w:color w:val="000000"/>
          <w:kern w:val="0"/>
          <w:sz w:val="32"/>
          <w:szCs w:val="32"/>
        </w:rPr>
        <w:t xml:space="preserve">   </w:t>
      </w:r>
      <w:r>
        <w:rPr>
          <w:rFonts w:hint="eastAsia" w:ascii="仿宋_GB2312" w:eastAsia="仿宋_GB2312" w:cs="宋体"/>
          <w:color w:val="000000"/>
          <w:kern w:val="0"/>
          <w:sz w:val="32"/>
          <w:szCs w:val="32"/>
        </w:rPr>
        <w:t>二、人大会议：保障会议顺利召开，完成会议议程。</w:t>
      </w:r>
      <w:r>
        <w:rPr>
          <w:rFonts w:hint="eastAsia" w:ascii="仿宋_GB2312" w:eastAsia="仿宋_GB2312" w:cs="宋体"/>
          <w:color w:val="000000"/>
          <w:kern w:val="0"/>
          <w:sz w:val="32"/>
          <w:szCs w:val="32"/>
        </w:rPr>
        <w:br w:type="textWrapping"/>
      </w:r>
      <w:r>
        <w:rPr>
          <w:rFonts w:hint="eastAsia" w:ascii="宋体" w:hAnsi="宋体" w:eastAsia="仿宋_GB2312" w:cs="宋体"/>
          <w:color w:val="000000"/>
          <w:kern w:val="0"/>
          <w:sz w:val="32"/>
          <w:szCs w:val="32"/>
        </w:rPr>
        <w:t xml:space="preserve">   </w:t>
      </w:r>
      <w:r>
        <w:rPr>
          <w:rFonts w:hint="eastAsia" w:ascii="仿宋_GB2312" w:eastAsia="仿宋_GB2312" w:cs="宋体"/>
          <w:color w:val="000000"/>
          <w:kern w:val="0"/>
          <w:sz w:val="32"/>
          <w:szCs w:val="32"/>
        </w:rPr>
        <w:t>三、选举和任免：确保县乡人大换届选举工作顺利完成，提高组织换届选举工作水平；高质量完成机关领导人选举和常委会人事任免服务工作；高效督办有关部门负责人的目标责任书和述职报告。</w:t>
      </w:r>
      <w:r>
        <w:rPr>
          <w:rFonts w:hint="eastAsia" w:ascii="仿宋_GB2312" w:eastAsia="仿宋_GB2312" w:cs="宋体"/>
          <w:color w:val="000000"/>
          <w:kern w:val="0"/>
          <w:sz w:val="32"/>
          <w:szCs w:val="32"/>
        </w:rPr>
        <w:br w:type="textWrapping"/>
      </w:r>
      <w:r>
        <w:rPr>
          <w:rFonts w:hint="eastAsia" w:ascii="宋体" w:hAnsi="宋体" w:eastAsia="仿宋_GB2312" w:cs="宋体"/>
          <w:color w:val="000000"/>
          <w:kern w:val="0"/>
          <w:sz w:val="32"/>
          <w:szCs w:val="32"/>
        </w:rPr>
        <w:t xml:space="preserve">    </w:t>
      </w:r>
      <w:r>
        <w:rPr>
          <w:rFonts w:hint="eastAsia" w:ascii="仿宋_GB2312" w:eastAsia="仿宋_GB2312" w:cs="宋体"/>
          <w:color w:val="000000"/>
          <w:kern w:val="0"/>
          <w:sz w:val="32"/>
          <w:szCs w:val="32"/>
        </w:rPr>
        <w:t>四、人大事务管理：保障新闻宣传与新闻发布工作正常开展，提高人大信息透明度和影响力，加强人大对内、对外交流。保障会议表决系统正常运转；网络与办公平台正常运行；促进社会和谐稳定。确保机关工作有效运转。</w:t>
      </w:r>
      <w:r>
        <w:rPr>
          <w:rFonts w:hint="eastAsia" w:ascii="仿宋_GB2312" w:eastAsia="仿宋_GB2312" w:cs="宋体"/>
          <w:color w:val="000000"/>
          <w:kern w:val="0"/>
          <w:sz w:val="32"/>
          <w:szCs w:val="32"/>
        </w:rPr>
        <w:br w:type="textWrapping"/>
      </w:r>
      <w:r>
        <w:rPr>
          <w:rFonts w:hint="eastAsia" w:ascii="仿宋_GB2312" w:eastAsia="仿宋_GB2312" w:cs="宋体"/>
          <w:color w:val="000000"/>
          <w:kern w:val="0"/>
          <w:sz w:val="32"/>
          <w:szCs w:val="32"/>
        </w:rPr>
        <w:t>部门职责-工作活动绩效目标</w:t>
      </w:r>
      <w:r>
        <w:rPr>
          <w:rFonts w:hint="eastAsia" w:ascii="仿宋_GB2312" w:eastAsia="仿宋_GB2312" w:cs="宋体"/>
          <w:color w:val="000000"/>
          <w:kern w:val="0"/>
          <w:sz w:val="32"/>
          <w:szCs w:val="32"/>
        </w:rPr>
        <w:br w:type="textWrapping"/>
      </w:r>
      <w:r>
        <w:rPr>
          <w:rFonts w:hint="eastAsia" w:ascii="宋体" w:hAnsi="宋体" w:eastAsia="仿宋_GB2312" w:cs="宋体"/>
          <w:color w:val="000000"/>
          <w:kern w:val="0"/>
          <w:sz w:val="32"/>
          <w:szCs w:val="32"/>
        </w:rPr>
        <w:t> </w:t>
      </w:r>
    </w:p>
    <w:tbl>
      <w:tblPr>
        <w:tblStyle w:val="4"/>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l2br w:val="nil"/>
              <w:tr2bl w:val="nil"/>
            </w:tcBorders>
            <w:shd w:val="clear" w:color="auto" w:fill="auto"/>
            <w:vAlign w:val="center"/>
          </w:tcPr>
          <w:p>
            <w:pPr>
              <w:spacing w:line="300" w:lineRule="exact"/>
              <w:jc w:val="left"/>
              <w:rPr>
                <w:rFonts w:hint="eastAsia" w:ascii="方正小标宋_GBK" w:eastAsia="方正小标宋_GBK"/>
                <w:sz w:val="24"/>
              </w:rPr>
            </w:pPr>
            <w:r>
              <w:rPr>
                <w:rFonts w:hint="eastAsia" w:ascii="方正小标宋_GBK" w:eastAsia="方正小标宋_GBK"/>
                <w:sz w:val="24"/>
              </w:rPr>
              <w:t>101廊坊市广阳区人民代表大会常务委员会</w:t>
            </w:r>
          </w:p>
        </w:tc>
        <w:tc>
          <w:tcPr>
            <w:tcW w:w="2948" w:type="dxa"/>
            <w:gridSpan w:val="4"/>
            <w:tcBorders>
              <w:top w:val="single" w:color="FFFFFF" w:sz="6" w:space="0"/>
              <w:left w:val="single" w:color="FFFFFF" w:sz="6" w:space="0"/>
              <w:right w:val="single" w:color="FFFFFF" w:sz="6" w:space="0"/>
              <w:tl2br w:val="nil"/>
              <w:tr2bl w:val="nil"/>
            </w:tcBorders>
            <w:shd w:val="clear" w:color="auto" w:fill="auto"/>
            <w:vAlign w:val="center"/>
          </w:tcPr>
          <w:p>
            <w:pPr>
              <w:spacing w:line="300" w:lineRule="exact"/>
              <w:jc w:val="right"/>
              <w:rPr>
                <w:rFonts w:hint="eastAsia"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tblHeader/>
          <w:jc w:val="center"/>
        </w:trPr>
        <w:tc>
          <w:tcPr>
            <w:tcW w:w="2341" w:type="dxa"/>
            <w:vMerge w:val="restart"/>
            <w:tcBorders>
              <w:tl2br w:val="nil"/>
              <w:tr2bl w:val="nil"/>
            </w:tcBorders>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职责活动</w:t>
            </w:r>
          </w:p>
        </w:tc>
        <w:tc>
          <w:tcPr>
            <w:tcW w:w="1276" w:type="dxa"/>
            <w:vMerge w:val="restart"/>
            <w:tcBorders>
              <w:tl2br w:val="nil"/>
              <w:tr2bl w:val="nil"/>
            </w:tcBorders>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年度预算数</w:t>
            </w:r>
          </w:p>
        </w:tc>
        <w:tc>
          <w:tcPr>
            <w:tcW w:w="2976" w:type="dxa"/>
            <w:vMerge w:val="restart"/>
            <w:tcBorders>
              <w:tl2br w:val="nil"/>
              <w:tr2bl w:val="nil"/>
            </w:tcBorders>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内容描述</w:t>
            </w:r>
          </w:p>
        </w:tc>
        <w:tc>
          <w:tcPr>
            <w:tcW w:w="2976" w:type="dxa"/>
            <w:vMerge w:val="restart"/>
            <w:tcBorders>
              <w:tl2br w:val="nil"/>
              <w:tr2bl w:val="nil"/>
            </w:tcBorders>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绩效目标</w:t>
            </w:r>
          </w:p>
        </w:tc>
        <w:tc>
          <w:tcPr>
            <w:tcW w:w="1417" w:type="dxa"/>
            <w:vMerge w:val="restart"/>
            <w:tcBorders>
              <w:tl2br w:val="nil"/>
              <w:tr2bl w:val="nil"/>
            </w:tcBorders>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绩效指标</w:t>
            </w:r>
          </w:p>
        </w:tc>
        <w:tc>
          <w:tcPr>
            <w:tcW w:w="2948" w:type="dxa"/>
            <w:gridSpan w:val="4"/>
            <w:tcBorders>
              <w:tl2br w:val="nil"/>
              <w:tr2bl w:val="nil"/>
            </w:tcBorders>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tblHeader/>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vMerge w:val="continue"/>
            <w:tcBorders>
              <w:tl2br w:val="nil"/>
              <w:tr2bl w:val="nil"/>
            </w:tcBorders>
            <w:shd w:val="clear" w:color="auto" w:fill="auto"/>
            <w:vAlign w:val="center"/>
          </w:tcP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优</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良</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中</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tcBorders>
              <w:tl2br w:val="nil"/>
              <w:tr2bl w:val="nil"/>
            </w:tcBorders>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一、人大监督</w:t>
            </w:r>
          </w:p>
        </w:tc>
        <w:tc>
          <w:tcPr>
            <w:tcW w:w="1276" w:type="dxa"/>
            <w:tcBorders>
              <w:tl2br w:val="nil"/>
              <w:tr2bl w:val="nil"/>
            </w:tcBorders>
            <w:shd w:val="clear" w:color="auto" w:fill="auto"/>
            <w:vAlign w:val="center"/>
          </w:tcPr>
          <w:p>
            <w:pPr>
              <w:spacing w:line="300" w:lineRule="exact"/>
              <w:jc w:val="left"/>
              <w:rPr>
                <w:rFonts w:hint="eastAsia" w:ascii="方正书宋_GBK" w:eastAsia="方正书宋_GBK"/>
              </w:rPr>
            </w:pPr>
          </w:p>
        </w:tc>
        <w:tc>
          <w:tcPr>
            <w:tcW w:w="2976" w:type="dxa"/>
            <w:tcBorders>
              <w:tl2br w:val="nil"/>
              <w:tr2bl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进行执法检查；围绕政府工作报告内容开展调查研究，开展专题询问和工作评议；对“一府两院”进行监督。</w:t>
            </w:r>
          </w:p>
        </w:tc>
        <w:tc>
          <w:tcPr>
            <w:tcW w:w="2976" w:type="dxa"/>
            <w:tcBorders>
              <w:tl2br w:val="nil"/>
              <w:tr2bl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1、监督宪法和法律在我区行政区域内正确实施。2、监督一府两院依法开展工作。3、监督区本级预算按照人代会通过的预算有效实施。4、监督经济和社会发展计划有效实施。</w:t>
            </w:r>
          </w:p>
        </w:tc>
        <w:tc>
          <w:tcPr>
            <w:tcW w:w="1417" w:type="dxa"/>
            <w:tcBorders>
              <w:tl2br w:val="nil"/>
              <w:tr2bl w:val="nil"/>
            </w:tcBorders>
            <w:shd w:val="clear" w:color="auto" w:fill="auto"/>
            <w:vAlign w:val="center"/>
          </w:tcPr>
          <w:p>
            <w:pPr>
              <w:spacing w:line="300" w:lineRule="exact"/>
              <w:jc w:val="left"/>
              <w:rPr>
                <w:rFonts w:hint="eastAsia"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restart"/>
            <w:tcBorders>
              <w:tl2br w:val="nil"/>
              <w:tr2bl w:val="nil"/>
            </w:tcBorders>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1、工作委员会、常委及人大代表活动</w:t>
            </w:r>
          </w:p>
        </w:tc>
        <w:tc>
          <w:tcPr>
            <w:tcW w:w="1276" w:type="dxa"/>
            <w:vMerge w:val="restart"/>
            <w:tcBorders>
              <w:tl2br w:val="nil"/>
              <w:tr2bl w:val="nil"/>
            </w:tcBorders>
            <w:shd w:val="clear" w:color="auto" w:fill="auto"/>
            <w:vAlign w:val="center"/>
          </w:tcPr>
          <w:p>
            <w:pPr>
              <w:spacing w:line="300" w:lineRule="exact"/>
              <w:jc w:val="left"/>
              <w:rPr>
                <w:rFonts w:hint="eastAsia" w:ascii="方正书宋_GBK" w:eastAsia="方正书宋_GBK"/>
              </w:rPr>
            </w:pPr>
          </w:p>
        </w:tc>
        <w:tc>
          <w:tcPr>
            <w:tcW w:w="2976" w:type="dxa"/>
            <w:vMerge w:val="restart"/>
            <w:tcBorders>
              <w:tl2br w:val="nil"/>
              <w:tr2bl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组织工作委员会委员对法律实施情况进行检查；组织区人大常委及区人大代表进行执法检查和集中视察；开展代表建议督办；组织对常委及代表培训。</w:t>
            </w:r>
          </w:p>
        </w:tc>
        <w:tc>
          <w:tcPr>
            <w:tcW w:w="2976" w:type="dxa"/>
            <w:vMerge w:val="restart"/>
            <w:tcBorders>
              <w:tl2br w:val="nil"/>
              <w:tr2bl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提高法规质量，保障其有效实施；发挥常委及代表的桥梁纽带作用，集中反映民意，促进依法履职。</w:t>
            </w:r>
          </w:p>
        </w:tc>
        <w:tc>
          <w:tcPr>
            <w:tcW w:w="1417" w:type="dxa"/>
            <w:tcBorders>
              <w:tl2br w:val="nil"/>
              <w:tr2bl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集中视察完成率</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100.00%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85.00%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65.00%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执法检查和集中视察完成率。</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100.00%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85.00%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65.00%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培训计划完成率。</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100.00%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85.00%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65.00%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tcBorders>
              <w:tl2br w:val="nil"/>
              <w:tr2bl w:val="nil"/>
            </w:tcBorders>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二、人大会议</w:t>
            </w:r>
          </w:p>
        </w:tc>
        <w:tc>
          <w:tcPr>
            <w:tcW w:w="1276" w:type="dxa"/>
            <w:tcBorders>
              <w:tl2br w:val="nil"/>
              <w:tr2bl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40.00</w:t>
            </w:r>
          </w:p>
        </w:tc>
        <w:tc>
          <w:tcPr>
            <w:tcW w:w="2976" w:type="dxa"/>
            <w:tcBorders>
              <w:tl2br w:val="nil"/>
              <w:tr2bl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区人民代表大会和常务委员会各种会议的筹备、会务工作，负责常委会文件起草、审核把关，常委会会议、主任会议及常委会党组会议决定事项、工作部署、重要文件及领导批示的传达和督办。</w:t>
            </w:r>
          </w:p>
        </w:tc>
        <w:tc>
          <w:tcPr>
            <w:tcW w:w="2976" w:type="dxa"/>
            <w:tcBorders>
              <w:tl2br w:val="nil"/>
              <w:tr2bl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1、在人大代表和区人大常委充分发表审议意见的基础上，作出我区区经济社会发展计划、区总预算和区本级预算等决议。2、通过听取和审议一府两院等工作报告，作出有关报告的决议。3、通过质询、专题询问和工作评议的方式就一府两院的工作进行监督。4、为保证我区重大决策的科学性和法定性，实施作出有关我区重大问题的决定。5、高效、精细的筹备区人大会。</w:t>
            </w:r>
          </w:p>
        </w:tc>
        <w:tc>
          <w:tcPr>
            <w:tcW w:w="1417" w:type="dxa"/>
            <w:tcBorders>
              <w:tl2br w:val="nil"/>
              <w:tr2bl w:val="nil"/>
            </w:tcBorders>
            <w:shd w:val="clear" w:color="auto" w:fill="auto"/>
            <w:vAlign w:val="center"/>
          </w:tcPr>
          <w:p>
            <w:pPr>
              <w:spacing w:line="300" w:lineRule="exact"/>
              <w:jc w:val="left"/>
              <w:rPr>
                <w:rFonts w:hint="eastAsia"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restart"/>
            <w:tcBorders>
              <w:tl2br w:val="nil"/>
              <w:tr2bl w:val="nil"/>
            </w:tcBorders>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1、人大会议</w:t>
            </w:r>
          </w:p>
        </w:tc>
        <w:tc>
          <w:tcPr>
            <w:tcW w:w="1276" w:type="dxa"/>
            <w:vMerge w:val="restart"/>
            <w:tcBorders>
              <w:tl2br w:val="nil"/>
              <w:tr2bl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40.00</w:t>
            </w:r>
          </w:p>
        </w:tc>
        <w:tc>
          <w:tcPr>
            <w:tcW w:w="2976" w:type="dxa"/>
            <w:vMerge w:val="restart"/>
            <w:tcBorders>
              <w:tl2br w:val="nil"/>
              <w:tr2bl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承担区人民代表大会和常务委员会各种会议的筹备、会务工作，负责常委会文件起草、审核把关，常委会会议、主任会议及常委会党组会议决定事项、工作部署、重要文件及领导批示的传达和督办。</w:t>
            </w:r>
          </w:p>
        </w:tc>
        <w:tc>
          <w:tcPr>
            <w:tcW w:w="2976" w:type="dxa"/>
            <w:vMerge w:val="restart"/>
            <w:tcBorders>
              <w:tl2br w:val="nil"/>
              <w:tr2bl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保障会议顺利召开，完成会议议程。</w:t>
            </w:r>
          </w:p>
        </w:tc>
        <w:tc>
          <w:tcPr>
            <w:tcW w:w="1417" w:type="dxa"/>
            <w:tcBorders>
              <w:tl2br w:val="nil"/>
              <w:tr2bl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筹备会务工作完成率；</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100.00%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85.00%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65.00%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起草会议审核完成率；</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100.00%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85.00%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65.00%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会议活动完成率。</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100.00%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85.00%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65.00%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tcBorders>
              <w:tl2br w:val="nil"/>
              <w:tr2bl w:val="nil"/>
            </w:tcBorders>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三、选举和任免</w:t>
            </w:r>
          </w:p>
        </w:tc>
        <w:tc>
          <w:tcPr>
            <w:tcW w:w="1276" w:type="dxa"/>
            <w:tcBorders>
              <w:tl2br w:val="nil"/>
              <w:tr2bl w:val="nil"/>
            </w:tcBorders>
            <w:shd w:val="clear" w:color="auto" w:fill="auto"/>
            <w:vAlign w:val="center"/>
          </w:tcPr>
          <w:p>
            <w:pPr>
              <w:spacing w:line="300" w:lineRule="exact"/>
              <w:jc w:val="left"/>
              <w:rPr>
                <w:rFonts w:hint="eastAsia" w:ascii="方正书宋_GBK" w:eastAsia="方正书宋_GBK"/>
              </w:rPr>
            </w:pPr>
          </w:p>
        </w:tc>
        <w:tc>
          <w:tcPr>
            <w:tcW w:w="2976" w:type="dxa"/>
            <w:tcBorders>
              <w:tl2br w:val="nil"/>
              <w:tr2bl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检查监督代表法、选举法及其实施办法的贯彻实施；承担人大换届选举及人事任免服务工作；负责对区政府组成人员和区级人民法院、区人民检察院主要负责人的目标责任书、述职报告的督办工作。</w:t>
            </w:r>
          </w:p>
        </w:tc>
        <w:tc>
          <w:tcPr>
            <w:tcW w:w="2976" w:type="dxa"/>
            <w:tcBorders>
              <w:tl2br w:val="nil"/>
              <w:tr2bl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1、根据一府两院的工作需要和区委的建议，在充分酝酿和审议的基础上，选举产生一府两院的领导成员，确保选出能力突出、责任心强、有开拓精神的同志担任一府两院的领导同志。2、为确保有关选举的法律法规符合实际，在充分考察调研的基础上，实施对其进行修改。3、对区政府组成人员和区人民法院、区人民检察院主要负责人进行目标责任监督，确保依法履行职责，完成目标任务。</w:t>
            </w:r>
          </w:p>
        </w:tc>
        <w:tc>
          <w:tcPr>
            <w:tcW w:w="1417" w:type="dxa"/>
            <w:tcBorders>
              <w:tl2br w:val="nil"/>
              <w:tr2bl w:val="nil"/>
            </w:tcBorders>
            <w:shd w:val="clear" w:color="auto" w:fill="auto"/>
            <w:vAlign w:val="center"/>
          </w:tcPr>
          <w:p>
            <w:pPr>
              <w:spacing w:line="300" w:lineRule="exact"/>
              <w:jc w:val="left"/>
              <w:rPr>
                <w:rFonts w:hint="eastAsia"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restart"/>
            <w:tcBorders>
              <w:tl2br w:val="nil"/>
              <w:tr2bl w:val="nil"/>
            </w:tcBorders>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1、换届选举及人事任免</w:t>
            </w:r>
          </w:p>
        </w:tc>
        <w:tc>
          <w:tcPr>
            <w:tcW w:w="1276" w:type="dxa"/>
            <w:vMerge w:val="restart"/>
            <w:tcBorders>
              <w:tl2br w:val="nil"/>
              <w:tr2bl w:val="nil"/>
            </w:tcBorders>
            <w:shd w:val="clear" w:color="auto" w:fill="auto"/>
            <w:vAlign w:val="center"/>
          </w:tcPr>
          <w:p>
            <w:pPr>
              <w:spacing w:line="300" w:lineRule="exact"/>
              <w:jc w:val="left"/>
              <w:rPr>
                <w:rFonts w:hint="eastAsia" w:ascii="方正书宋_GBK" w:eastAsia="方正书宋_GBK"/>
              </w:rPr>
            </w:pPr>
          </w:p>
        </w:tc>
        <w:tc>
          <w:tcPr>
            <w:tcW w:w="2976" w:type="dxa"/>
            <w:vMerge w:val="restart"/>
            <w:tcBorders>
              <w:tl2br w:val="nil"/>
              <w:tr2bl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承担区人大换届选举、区领导人的选举和常委会人事任免的服务工作；指导乡人大换届选举工作；负责对区政府组成人员和区人民法院、区人民检察院主要负责人的目标责任书、述职报告的督办工作。</w:t>
            </w:r>
          </w:p>
        </w:tc>
        <w:tc>
          <w:tcPr>
            <w:tcW w:w="2976" w:type="dxa"/>
            <w:vMerge w:val="restart"/>
            <w:tcBorders>
              <w:tl2br w:val="nil"/>
              <w:tr2bl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承担区人大换届选举、区领导人的选举和常委会人事任免的服务工作；指导乡人大换届选举工作；负责对区政府组成人员和区人民法院、区人民检察院主要负责人的目标责任书、述职报告的督办工作。</w:t>
            </w:r>
          </w:p>
        </w:tc>
        <w:tc>
          <w:tcPr>
            <w:tcW w:w="1417" w:type="dxa"/>
            <w:tcBorders>
              <w:tl2br w:val="nil"/>
              <w:tr2bl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确保区乡人大换届选举工作顺利完成，提高组织换届选举工作水平；高质量完成机关领导人选举和常委会人事任免服务工作；高效督办有关部门负责人的目标责任书和述职报告。</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反映反换届选举及人事任免的比率</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100.00%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85.00%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65.00%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确保区乡人大换届选举工作顺利完成，提高组织换届选举工作水平；高质量完成机关领导人选举和常委会人事任免服务工作；高效督办有关部门负责人的目标责任书和述职报告。</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反映乡级人大换届选举的比率</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100.00%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85.00%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65.00%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确保区乡人大换届选举工作顺利完成，提高组织换届选举工作水平；高质量完成机关领导人选举和常委会人事任免服务工作；高效督办有关部门负责人的目标责任书和述职报告。</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反映督办工作的比率</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100.00%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85.00%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65.00%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tcBorders>
              <w:tl2br w:val="nil"/>
              <w:tr2bl w:val="nil"/>
            </w:tcBorders>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四、人大事务管理</w:t>
            </w:r>
          </w:p>
        </w:tc>
        <w:tc>
          <w:tcPr>
            <w:tcW w:w="1276" w:type="dxa"/>
            <w:tcBorders>
              <w:tl2br w:val="nil"/>
              <w:tr2bl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95.00</w:t>
            </w:r>
          </w:p>
        </w:tc>
        <w:tc>
          <w:tcPr>
            <w:tcW w:w="2976" w:type="dxa"/>
            <w:tcBorders>
              <w:tl2br w:val="nil"/>
              <w:tr2bl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新闻宣传和机关信息化建设与维护；人代会及常委会机关基础设施建设与维护；区人大机关日常管理事务；信访工作。</w:t>
            </w:r>
          </w:p>
        </w:tc>
        <w:tc>
          <w:tcPr>
            <w:tcW w:w="2976" w:type="dxa"/>
            <w:tcBorders>
              <w:tl2br w:val="nil"/>
              <w:tr2bl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确保新闻宣传工作正常开展，信息系统运行正常，会议表决系统运转良好，机关基础设施运转良好，人大公报等正常出版，信访工作平稳。</w:t>
            </w:r>
          </w:p>
        </w:tc>
        <w:tc>
          <w:tcPr>
            <w:tcW w:w="1417" w:type="dxa"/>
            <w:tcBorders>
              <w:tl2br w:val="nil"/>
              <w:tr2bl w:val="nil"/>
            </w:tcBorders>
            <w:shd w:val="clear" w:color="auto" w:fill="auto"/>
            <w:vAlign w:val="center"/>
          </w:tcPr>
          <w:p>
            <w:pPr>
              <w:spacing w:line="300" w:lineRule="exact"/>
              <w:jc w:val="left"/>
              <w:rPr>
                <w:rFonts w:hint="eastAsia"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restart"/>
            <w:tcBorders>
              <w:tl2br w:val="nil"/>
              <w:tr2bl w:val="nil"/>
            </w:tcBorders>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1、综合业务管理</w:t>
            </w:r>
          </w:p>
        </w:tc>
        <w:tc>
          <w:tcPr>
            <w:tcW w:w="1276" w:type="dxa"/>
            <w:vMerge w:val="restart"/>
            <w:tcBorders>
              <w:tl2br w:val="nil"/>
              <w:tr2bl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95.00</w:t>
            </w:r>
          </w:p>
        </w:tc>
        <w:tc>
          <w:tcPr>
            <w:tcW w:w="2976" w:type="dxa"/>
            <w:vMerge w:val="restart"/>
            <w:tcBorders>
              <w:tl2br w:val="nil"/>
              <w:tr2bl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办理来信来访，区人大日常活动，代表大会和常委会会议公报、人大工作年鉴；负责与市、外县市人大常委会联系。</w:t>
            </w:r>
          </w:p>
        </w:tc>
        <w:tc>
          <w:tcPr>
            <w:tcW w:w="2976" w:type="dxa"/>
            <w:vMerge w:val="restart"/>
            <w:tcBorders>
              <w:tl2br w:val="nil"/>
              <w:tr2bl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保障新闻宣传与新闻发布工作正常开展，提高人大信息透明度和影响力，加强人大对内、对外交流。保障会议表决系统正常运转；网络与办公平台正常运行；促进社会和谐稳定。</w:t>
            </w:r>
          </w:p>
        </w:tc>
        <w:tc>
          <w:tcPr>
            <w:tcW w:w="1417" w:type="dxa"/>
            <w:tcBorders>
              <w:tl2br w:val="nil"/>
              <w:tr2bl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新闻宣传任务完成率</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100.00%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85.00%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65.00%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调研计划完成率</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100.00%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85.00%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65.00%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调研计划完进度</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100.00%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85.00%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65.00%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restart"/>
            <w:tcBorders>
              <w:tl2br w:val="nil"/>
              <w:tr2bl w:val="nil"/>
            </w:tcBorders>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2、综合事务管理</w:t>
            </w:r>
          </w:p>
        </w:tc>
        <w:tc>
          <w:tcPr>
            <w:tcW w:w="1276" w:type="dxa"/>
            <w:vMerge w:val="restart"/>
            <w:tcBorders>
              <w:tl2br w:val="nil"/>
              <w:tr2bl w:val="nil"/>
            </w:tcBorders>
            <w:shd w:val="clear" w:color="auto" w:fill="auto"/>
            <w:vAlign w:val="center"/>
          </w:tcPr>
          <w:p>
            <w:pPr>
              <w:spacing w:line="300" w:lineRule="exact"/>
              <w:jc w:val="left"/>
              <w:rPr>
                <w:rFonts w:hint="eastAsia" w:ascii="方正书宋_GBK" w:eastAsia="方正书宋_GBK"/>
              </w:rPr>
            </w:pPr>
          </w:p>
        </w:tc>
        <w:tc>
          <w:tcPr>
            <w:tcW w:w="2976" w:type="dxa"/>
            <w:vMerge w:val="restart"/>
            <w:tcBorders>
              <w:tl2br w:val="nil"/>
              <w:tr2bl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机关文书档案印信管理和保密，机关人事、离退休人员服务，财务、后勤服务；领导交办的其他工作。</w:t>
            </w:r>
          </w:p>
        </w:tc>
        <w:tc>
          <w:tcPr>
            <w:tcW w:w="2976" w:type="dxa"/>
            <w:vMerge w:val="restart"/>
            <w:tcBorders>
              <w:tl2br w:val="nil"/>
              <w:tr2bl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确保机关工作有效运转</w:t>
            </w:r>
          </w:p>
        </w:tc>
        <w:tc>
          <w:tcPr>
            <w:tcW w:w="1417" w:type="dxa"/>
            <w:tcBorders>
              <w:tl2br w:val="nil"/>
              <w:tr2bl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综合事务保障率</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100.00%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85.00%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65.00%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综合事务完成率</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100.00%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85.00%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65.00%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综合事务完成进度</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100.00%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85.00%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65.00%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50.00%</w:t>
            </w:r>
          </w:p>
        </w:tc>
      </w:tr>
    </w:tbl>
    <w:p>
      <w:pPr>
        <w:widowControl/>
        <w:jc w:val="left"/>
        <w:rPr>
          <w:rFonts w:hint="eastAsia" w:ascii="宋体" w:hAnsi="宋体" w:eastAsia="仿宋_GB2312" w:cs="宋体"/>
          <w:kern w:val="0"/>
          <w:sz w:val="32"/>
          <w:szCs w:val="32"/>
        </w:rPr>
      </w:pPr>
    </w:p>
    <w:p>
      <w:pPr>
        <w:widowControl/>
        <w:spacing w:line="360" w:lineRule="atLeast"/>
        <w:jc w:val="left"/>
        <w:rPr>
          <w:rFonts w:ascii="宋体" w:hAnsi="宋体" w:eastAsia="黑体" w:cs="宋体"/>
          <w:color w:val="000000"/>
          <w:kern w:val="0"/>
          <w:sz w:val="32"/>
          <w:szCs w:val="32"/>
        </w:rPr>
      </w:pPr>
    </w:p>
    <w:p>
      <w:pPr>
        <w:widowControl/>
        <w:spacing w:line="360" w:lineRule="atLeast"/>
        <w:jc w:val="left"/>
        <w:rPr>
          <w:rFonts w:ascii="宋体" w:hAnsi="宋体" w:eastAsia="黑体" w:cs="宋体"/>
          <w:color w:val="000000"/>
          <w:kern w:val="0"/>
          <w:sz w:val="32"/>
          <w:szCs w:val="32"/>
        </w:rPr>
      </w:pPr>
    </w:p>
    <w:p>
      <w:pPr>
        <w:widowControl/>
        <w:spacing w:line="360" w:lineRule="atLeast"/>
        <w:jc w:val="left"/>
        <w:rPr>
          <w:rFonts w:ascii="宋体" w:hAnsi="宋体" w:eastAsia="黑体" w:cs="宋体"/>
          <w:color w:val="000000"/>
          <w:kern w:val="0"/>
          <w:sz w:val="32"/>
          <w:szCs w:val="32"/>
        </w:rPr>
      </w:pPr>
    </w:p>
    <w:p>
      <w:pPr>
        <w:widowControl/>
        <w:spacing w:line="360" w:lineRule="atLeast"/>
        <w:jc w:val="left"/>
        <w:rPr>
          <w:rFonts w:ascii="宋体" w:hAnsi="宋体" w:eastAsia="黑体" w:cs="宋体"/>
          <w:color w:val="000000"/>
          <w:kern w:val="0"/>
          <w:sz w:val="32"/>
          <w:szCs w:val="32"/>
        </w:rPr>
      </w:pPr>
    </w:p>
    <w:p>
      <w:pPr>
        <w:widowControl/>
        <w:spacing w:line="360" w:lineRule="atLeast"/>
        <w:jc w:val="left"/>
        <w:rPr>
          <w:rFonts w:ascii="宋体" w:hAnsi="宋体" w:eastAsia="黑体" w:cs="宋体"/>
          <w:color w:val="000000"/>
          <w:kern w:val="0"/>
          <w:sz w:val="32"/>
          <w:szCs w:val="32"/>
        </w:rPr>
      </w:pPr>
    </w:p>
    <w:p>
      <w:pPr>
        <w:widowControl/>
        <w:spacing w:line="360" w:lineRule="atLeast"/>
        <w:jc w:val="left"/>
        <w:rPr>
          <w:rFonts w:ascii="宋体" w:hAnsi="宋体" w:eastAsia="黑体" w:cs="宋体"/>
          <w:color w:val="000000"/>
          <w:kern w:val="0"/>
          <w:sz w:val="32"/>
          <w:szCs w:val="32"/>
        </w:rPr>
      </w:pPr>
    </w:p>
    <w:p>
      <w:pPr>
        <w:widowControl/>
        <w:spacing w:line="360" w:lineRule="atLeast"/>
        <w:jc w:val="left"/>
        <w:rPr>
          <w:rFonts w:hint="eastAsia" w:ascii="仿宋_GB2312" w:eastAsia="仿宋_GB2312" w:cs="宋体"/>
          <w:color w:val="000000"/>
          <w:kern w:val="0"/>
          <w:sz w:val="32"/>
          <w:szCs w:val="32"/>
        </w:rPr>
      </w:pPr>
      <w:r>
        <w:rPr>
          <w:rFonts w:hint="eastAsia" w:ascii="宋体" w:hAnsi="宋体" w:eastAsia="黑体" w:cs="宋体"/>
          <w:color w:val="000000"/>
          <w:kern w:val="0"/>
          <w:sz w:val="32"/>
          <w:szCs w:val="32"/>
        </w:rPr>
        <w:t> </w:t>
      </w:r>
      <w:r>
        <w:rPr>
          <w:rFonts w:hint="eastAsia" w:ascii="黑体" w:eastAsia="黑体" w:cs="宋体"/>
          <w:b/>
          <w:bCs/>
          <w:color w:val="000000"/>
          <w:kern w:val="0"/>
          <w:sz w:val="32"/>
          <w:szCs w:val="32"/>
        </w:rPr>
        <w:t>六、政府采购预算情况</w:t>
      </w:r>
      <w:r>
        <w:rPr>
          <w:rFonts w:hint="eastAsia" w:ascii="黑体" w:eastAsia="黑体" w:cs="宋体"/>
          <w:color w:val="000000"/>
          <w:kern w:val="0"/>
          <w:sz w:val="32"/>
          <w:szCs w:val="32"/>
        </w:rPr>
        <w:br w:type="textWrapping"/>
      </w:r>
      <w:r>
        <w:rPr>
          <w:rFonts w:hint="eastAsia" w:ascii="宋体" w:hAnsi="宋体" w:eastAsia="仿宋_GB2312" w:cs="宋体"/>
          <w:color w:val="000000"/>
          <w:kern w:val="0"/>
          <w:sz w:val="32"/>
          <w:szCs w:val="32"/>
        </w:rPr>
        <w:t xml:space="preserve">   </w:t>
      </w:r>
      <w:r>
        <w:rPr>
          <w:rFonts w:hint="eastAsia" w:ascii="仿宋_GB2312" w:eastAsia="仿宋_GB2312" w:cs="宋体"/>
          <w:color w:val="000000"/>
          <w:kern w:val="0"/>
          <w:sz w:val="32"/>
          <w:szCs w:val="32"/>
        </w:rPr>
        <w:t>201</w:t>
      </w:r>
      <w:r>
        <w:rPr>
          <w:rFonts w:ascii="仿宋_GB2312" w:eastAsia="仿宋_GB2312" w:cs="宋体"/>
          <w:color w:val="000000"/>
          <w:kern w:val="0"/>
          <w:sz w:val="32"/>
          <w:szCs w:val="32"/>
        </w:rPr>
        <w:t>8</w:t>
      </w:r>
      <w:r>
        <w:rPr>
          <w:rFonts w:hint="eastAsia" w:ascii="仿宋_GB2312" w:eastAsia="仿宋_GB2312" w:cs="宋体"/>
          <w:color w:val="000000"/>
          <w:kern w:val="0"/>
          <w:sz w:val="32"/>
          <w:szCs w:val="32"/>
        </w:rPr>
        <w:t>年，我部门未安排政府采购预算。</w:t>
      </w:r>
    </w:p>
    <w:tbl>
      <w:tblPr>
        <w:tblStyle w:val="4"/>
        <w:tblpPr w:leftFromText="180" w:rightFromText="180" w:vertAnchor="text" w:horzAnchor="page" w:tblpX="1260" w:tblpY="624"/>
        <w:tblOverlap w:val="never"/>
        <w:tblW w:w="14502"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92"/>
        <w:gridCol w:w="1067"/>
        <w:gridCol w:w="879"/>
        <w:gridCol w:w="1398"/>
        <w:gridCol w:w="879"/>
        <w:gridCol w:w="879"/>
        <w:gridCol w:w="902"/>
        <w:gridCol w:w="899"/>
        <w:gridCol w:w="899"/>
        <w:gridCol w:w="899"/>
        <w:gridCol w:w="818"/>
        <w:gridCol w:w="881"/>
        <w:gridCol w:w="881"/>
        <w:gridCol w:w="82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trPr>
        <w:tc>
          <w:tcPr>
            <w:tcW w:w="8396"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eastAsia" w:ascii="仿宋_GB2312" w:eastAsia="仿宋_GB2312" w:cs="Times New Roman"/>
                <w:sz w:val="28"/>
                <w:szCs w:val="28"/>
              </w:rPr>
            </w:pPr>
            <w:r>
              <w:rPr>
                <w:rFonts w:hint="eastAsia" w:ascii="方正小标宋_GBK" w:eastAsia="方正小标宋_GBK"/>
                <w:sz w:val="24"/>
              </w:rPr>
              <w:t>101廊坊市广阳区人民代表大会常务委员会</w:t>
            </w:r>
          </w:p>
        </w:tc>
        <w:tc>
          <w:tcPr>
            <w:tcW w:w="6106"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hint="eastAsia" w:ascii="仿宋_GB2312" w:eastAsia="仿宋_GB2312" w:cs="Times New Roman"/>
                <w:sz w:val="28"/>
                <w:szCs w:val="28"/>
              </w:rPr>
            </w:pPr>
            <w:r>
              <w:rPr>
                <w:rFonts w:hint="eastAsia" w:ascii="仿宋_GB2312" w:eastAsia="仿宋_GB2312" w:cs="Times New Roman"/>
                <w:sz w:val="28"/>
                <w:szCs w:val="2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trPr>
        <w:tc>
          <w:tcPr>
            <w:tcW w:w="3459" w:type="dxa"/>
            <w:gridSpan w:val="2"/>
            <w:shd w:val="clear" w:color="auto" w:fill="auto"/>
            <w:vAlign w:val="center"/>
          </w:tcPr>
          <w:p>
            <w:pPr>
              <w:spacing w:line="300" w:lineRule="exact"/>
              <w:jc w:val="center"/>
              <w:rPr>
                <w:rFonts w:hint="eastAsia" w:ascii="仿宋_GB2312" w:eastAsia="仿宋_GB2312" w:cs="Times New Roman"/>
                <w:b/>
                <w:sz w:val="28"/>
                <w:szCs w:val="28"/>
              </w:rPr>
            </w:pPr>
            <w:r>
              <w:rPr>
                <w:rFonts w:hint="eastAsia" w:ascii="仿宋_GB2312" w:eastAsia="仿宋_GB2312" w:cs="Times New Roman"/>
                <w:b/>
                <w:sz w:val="28"/>
                <w:szCs w:val="28"/>
              </w:rPr>
              <w:t>政府采购项目来源</w:t>
            </w:r>
          </w:p>
        </w:tc>
        <w:tc>
          <w:tcPr>
            <w:tcW w:w="879" w:type="dxa"/>
            <w:vMerge w:val="restart"/>
            <w:shd w:val="clear" w:color="auto" w:fill="auto"/>
            <w:vAlign w:val="center"/>
          </w:tcPr>
          <w:p>
            <w:pPr>
              <w:spacing w:line="300" w:lineRule="exact"/>
              <w:jc w:val="center"/>
              <w:rPr>
                <w:rFonts w:hint="eastAsia" w:ascii="仿宋_GB2312" w:eastAsia="仿宋_GB2312" w:cs="Times New Roman"/>
                <w:b/>
                <w:sz w:val="28"/>
                <w:szCs w:val="28"/>
              </w:rPr>
            </w:pPr>
            <w:r>
              <w:rPr>
                <w:rFonts w:hint="eastAsia" w:ascii="仿宋_GB2312" w:eastAsia="仿宋_GB2312" w:cs="Times New Roman"/>
                <w:b/>
                <w:sz w:val="28"/>
                <w:szCs w:val="28"/>
              </w:rPr>
              <w:t>采购物品名称</w:t>
            </w:r>
          </w:p>
        </w:tc>
        <w:tc>
          <w:tcPr>
            <w:tcW w:w="1398" w:type="dxa"/>
            <w:vMerge w:val="restart"/>
            <w:shd w:val="clear" w:color="auto" w:fill="auto"/>
            <w:vAlign w:val="center"/>
          </w:tcPr>
          <w:p>
            <w:pPr>
              <w:spacing w:line="300" w:lineRule="exact"/>
              <w:jc w:val="center"/>
              <w:rPr>
                <w:rFonts w:hint="eastAsia" w:ascii="仿宋_GB2312" w:eastAsia="仿宋_GB2312" w:cs="Times New Roman"/>
                <w:b/>
                <w:sz w:val="28"/>
                <w:szCs w:val="28"/>
              </w:rPr>
            </w:pPr>
            <w:r>
              <w:rPr>
                <w:rFonts w:hint="eastAsia" w:ascii="仿宋_GB2312" w:eastAsia="仿宋_GB2312" w:cs="Times New Roman"/>
                <w:b/>
                <w:sz w:val="28"/>
                <w:szCs w:val="28"/>
              </w:rPr>
              <w:t>政府采购目录序号</w:t>
            </w:r>
          </w:p>
        </w:tc>
        <w:tc>
          <w:tcPr>
            <w:tcW w:w="879" w:type="dxa"/>
            <w:vMerge w:val="restart"/>
            <w:shd w:val="clear" w:color="auto" w:fill="auto"/>
            <w:vAlign w:val="center"/>
          </w:tcPr>
          <w:p>
            <w:pPr>
              <w:spacing w:line="300" w:lineRule="exact"/>
              <w:jc w:val="center"/>
              <w:rPr>
                <w:rFonts w:hint="eastAsia" w:ascii="仿宋_GB2312" w:eastAsia="仿宋_GB2312" w:cs="Times New Roman"/>
                <w:b/>
                <w:sz w:val="28"/>
                <w:szCs w:val="28"/>
              </w:rPr>
            </w:pPr>
            <w:r>
              <w:rPr>
                <w:rFonts w:hint="eastAsia" w:ascii="仿宋_GB2312" w:eastAsia="仿宋_GB2312" w:cs="Times New Roman"/>
                <w:b/>
                <w:sz w:val="28"/>
                <w:szCs w:val="28"/>
              </w:rPr>
              <w:t>数量  单位</w:t>
            </w:r>
          </w:p>
        </w:tc>
        <w:tc>
          <w:tcPr>
            <w:tcW w:w="879" w:type="dxa"/>
            <w:vMerge w:val="restart"/>
            <w:shd w:val="clear" w:color="auto" w:fill="auto"/>
            <w:vAlign w:val="center"/>
          </w:tcPr>
          <w:p>
            <w:pPr>
              <w:spacing w:line="300" w:lineRule="exact"/>
              <w:jc w:val="center"/>
              <w:rPr>
                <w:rFonts w:hint="eastAsia" w:ascii="仿宋_GB2312" w:eastAsia="仿宋_GB2312" w:cs="Times New Roman"/>
                <w:b/>
                <w:sz w:val="28"/>
                <w:szCs w:val="28"/>
              </w:rPr>
            </w:pPr>
            <w:r>
              <w:rPr>
                <w:rFonts w:hint="eastAsia" w:ascii="仿宋_GB2312" w:eastAsia="仿宋_GB2312" w:cs="Times New Roman"/>
                <w:b/>
                <w:sz w:val="28"/>
                <w:szCs w:val="28"/>
              </w:rPr>
              <w:t>数量</w:t>
            </w:r>
          </w:p>
        </w:tc>
        <w:tc>
          <w:tcPr>
            <w:tcW w:w="902" w:type="dxa"/>
            <w:vMerge w:val="restart"/>
            <w:shd w:val="clear" w:color="auto" w:fill="auto"/>
            <w:vAlign w:val="center"/>
          </w:tcPr>
          <w:p>
            <w:pPr>
              <w:spacing w:line="300" w:lineRule="exact"/>
              <w:jc w:val="center"/>
              <w:rPr>
                <w:rFonts w:hint="eastAsia" w:ascii="仿宋_GB2312" w:eastAsia="仿宋_GB2312" w:cs="Times New Roman"/>
                <w:b/>
                <w:sz w:val="28"/>
                <w:szCs w:val="28"/>
              </w:rPr>
            </w:pPr>
            <w:r>
              <w:rPr>
                <w:rFonts w:hint="eastAsia" w:ascii="仿宋_GB2312" w:eastAsia="仿宋_GB2312" w:cs="Times New Roman"/>
                <w:b/>
                <w:sz w:val="28"/>
                <w:szCs w:val="28"/>
              </w:rPr>
              <w:t>单价</w:t>
            </w:r>
          </w:p>
        </w:tc>
        <w:tc>
          <w:tcPr>
            <w:tcW w:w="6106" w:type="dxa"/>
            <w:gridSpan w:val="7"/>
            <w:shd w:val="clear" w:color="auto" w:fill="auto"/>
            <w:vAlign w:val="center"/>
          </w:tcPr>
          <w:p>
            <w:pPr>
              <w:spacing w:line="300" w:lineRule="exact"/>
              <w:jc w:val="center"/>
              <w:rPr>
                <w:rFonts w:hint="eastAsia" w:ascii="仿宋_GB2312" w:eastAsia="仿宋_GB2312" w:cs="Times New Roman"/>
                <w:b/>
                <w:sz w:val="28"/>
                <w:szCs w:val="28"/>
              </w:rPr>
            </w:pPr>
            <w:r>
              <w:rPr>
                <w:rFonts w:hint="eastAsia" w:ascii="仿宋_GB2312" w:eastAsia="仿宋_GB2312" w:cs="Times New Roman"/>
                <w:b/>
                <w:sz w:val="28"/>
                <w:szCs w:val="28"/>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trPr>
        <w:tc>
          <w:tcPr>
            <w:tcW w:w="2392" w:type="dxa"/>
            <w:vMerge w:val="restart"/>
            <w:shd w:val="clear" w:color="auto" w:fill="auto"/>
            <w:vAlign w:val="center"/>
          </w:tcPr>
          <w:p>
            <w:pPr>
              <w:spacing w:line="300" w:lineRule="exact"/>
              <w:jc w:val="center"/>
              <w:rPr>
                <w:rFonts w:hint="eastAsia" w:ascii="仿宋_GB2312" w:eastAsia="仿宋_GB2312" w:cs="Times New Roman"/>
                <w:b/>
                <w:sz w:val="32"/>
                <w:szCs w:val="32"/>
              </w:rPr>
            </w:pPr>
            <w:r>
              <w:rPr>
                <w:rFonts w:hint="eastAsia" w:ascii="仿宋_GB2312" w:eastAsia="仿宋_GB2312" w:cs="Times New Roman"/>
                <w:b/>
                <w:sz w:val="32"/>
                <w:szCs w:val="32"/>
              </w:rPr>
              <w:t>项目名称</w:t>
            </w:r>
          </w:p>
        </w:tc>
        <w:tc>
          <w:tcPr>
            <w:tcW w:w="1067" w:type="dxa"/>
            <w:vMerge w:val="restart"/>
            <w:shd w:val="clear" w:color="auto" w:fill="auto"/>
            <w:vAlign w:val="center"/>
          </w:tcPr>
          <w:p>
            <w:pPr>
              <w:spacing w:line="300" w:lineRule="exact"/>
              <w:jc w:val="center"/>
              <w:rPr>
                <w:rFonts w:hint="eastAsia" w:ascii="仿宋_GB2312" w:eastAsia="仿宋_GB2312" w:cs="Times New Roman"/>
                <w:b/>
                <w:sz w:val="32"/>
                <w:szCs w:val="32"/>
              </w:rPr>
            </w:pPr>
            <w:r>
              <w:rPr>
                <w:rFonts w:hint="eastAsia" w:ascii="仿宋_GB2312" w:eastAsia="仿宋_GB2312" w:cs="Times New Roman"/>
                <w:b/>
                <w:sz w:val="32"/>
                <w:szCs w:val="32"/>
              </w:rPr>
              <w:t>预算资金</w:t>
            </w:r>
          </w:p>
        </w:tc>
        <w:tc>
          <w:tcPr>
            <w:tcW w:w="879" w:type="dxa"/>
            <w:vMerge w:val="continue"/>
            <w:shd w:val="clear" w:color="auto" w:fill="auto"/>
            <w:vAlign w:val="center"/>
          </w:tcPr>
          <w:p/>
        </w:tc>
        <w:tc>
          <w:tcPr>
            <w:tcW w:w="1398" w:type="dxa"/>
            <w:vMerge w:val="continue"/>
            <w:shd w:val="clear" w:color="auto" w:fill="auto"/>
            <w:vAlign w:val="center"/>
          </w:tcPr>
          <w:p/>
        </w:tc>
        <w:tc>
          <w:tcPr>
            <w:tcW w:w="879" w:type="dxa"/>
            <w:vMerge w:val="continue"/>
            <w:shd w:val="clear" w:color="auto" w:fill="auto"/>
            <w:vAlign w:val="center"/>
          </w:tcPr>
          <w:p/>
        </w:tc>
        <w:tc>
          <w:tcPr>
            <w:tcW w:w="879" w:type="dxa"/>
            <w:vMerge w:val="continue"/>
            <w:shd w:val="clear" w:color="auto" w:fill="auto"/>
            <w:vAlign w:val="center"/>
          </w:tcPr>
          <w:p/>
        </w:tc>
        <w:tc>
          <w:tcPr>
            <w:tcW w:w="902" w:type="dxa"/>
            <w:vMerge w:val="continue"/>
            <w:shd w:val="clear" w:color="auto" w:fill="auto"/>
            <w:vAlign w:val="center"/>
          </w:tcPr>
          <w:p/>
        </w:tc>
        <w:tc>
          <w:tcPr>
            <w:tcW w:w="899" w:type="dxa"/>
            <w:vMerge w:val="restart"/>
            <w:shd w:val="clear" w:color="auto" w:fill="auto"/>
            <w:vAlign w:val="center"/>
          </w:tcPr>
          <w:p>
            <w:pPr>
              <w:spacing w:line="300" w:lineRule="exact"/>
              <w:jc w:val="center"/>
              <w:rPr>
                <w:rFonts w:hint="eastAsia" w:ascii="仿宋_GB2312" w:eastAsia="仿宋_GB2312" w:cs="Times New Roman"/>
                <w:b/>
                <w:sz w:val="32"/>
                <w:szCs w:val="32"/>
              </w:rPr>
            </w:pPr>
            <w:r>
              <w:rPr>
                <w:rFonts w:hint="eastAsia" w:ascii="仿宋_GB2312" w:eastAsia="仿宋_GB2312" w:cs="Times New Roman"/>
                <w:b/>
                <w:sz w:val="32"/>
                <w:szCs w:val="32"/>
              </w:rPr>
              <w:t>总计</w:t>
            </w:r>
          </w:p>
        </w:tc>
        <w:tc>
          <w:tcPr>
            <w:tcW w:w="4378" w:type="dxa"/>
            <w:gridSpan w:val="5"/>
            <w:shd w:val="clear" w:color="auto" w:fill="auto"/>
            <w:vAlign w:val="center"/>
          </w:tcPr>
          <w:p>
            <w:pPr>
              <w:spacing w:line="300" w:lineRule="exact"/>
              <w:jc w:val="center"/>
              <w:rPr>
                <w:rFonts w:hint="eastAsia" w:ascii="仿宋_GB2312" w:eastAsia="仿宋_GB2312" w:cs="Times New Roman"/>
                <w:b/>
                <w:sz w:val="32"/>
                <w:szCs w:val="32"/>
              </w:rPr>
            </w:pPr>
            <w:r>
              <w:rPr>
                <w:rFonts w:hint="eastAsia" w:ascii="仿宋_GB2312" w:eastAsia="仿宋_GB2312" w:cs="Times New Roman"/>
                <w:b/>
                <w:sz w:val="32"/>
                <w:szCs w:val="32"/>
              </w:rPr>
              <w:t>当年部门预算安排资金</w:t>
            </w:r>
          </w:p>
        </w:tc>
        <w:tc>
          <w:tcPr>
            <w:tcW w:w="829" w:type="dxa"/>
            <w:vMerge w:val="restart"/>
            <w:shd w:val="clear" w:color="auto" w:fill="auto"/>
            <w:vAlign w:val="center"/>
          </w:tcPr>
          <w:p>
            <w:pPr>
              <w:spacing w:line="300" w:lineRule="exact"/>
              <w:jc w:val="center"/>
              <w:rPr>
                <w:rFonts w:hint="eastAsia" w:ascii="仿宋_GB2312" w:eastAsia="仿宋_GB2312" w:cs="Times New Roman"/>
                <w:b/>
                <w:sz w:val="32"/>
                <w:szCs w:val="32"/>
              </w:rPr>
            </w:pPr>
            <w:r>
              <w:rPr>
                <w:rFonts w:hint="eastAsia" w:ascii="仿宋_GB2312" w:eastAsia="仿宋_GB2312" w:cs="Times New Roman"/>
                <w:b/>
                <w:sz w:val="32"/>
                <w:szCs w:val="32"/>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blHeader/>
        </w:trPr>
        <w:tc>
          <w:tcPr>
            <w:tcW w:w="2392" w:type="dxa"/>
            <w:vMerge w:val="continue"/>
            <w:shd w:val="clear" w:color="auto" w:fill="auto"/>
            <w:vAlign w:val="center"/>
          </w:tcPr>
          <w:p/>
        </w:tc>
        <w:tc>
          <w:tcPr>
            <w:tcW w:w="1067" w:type="dxa"/>
            <w:vMerge w:val="continue"/>
            <w:shd w:val="clear" w:color="auto" w:fill="auto"/>
            <w:vAlign w:val="center"/>
          </w:tcPr>
          <w:p/>
        </w:tc>
        <w:tc>
          <w:tcPr>
            <w:tcW w:w="879" w:type="dxa"/>
            <w:vMerge w:val="continue"/>
            <w:shd w:val="clear" w:color="auto" w:fill="auto"/>
            <w:vAlign w:val="center"/>
          </w:tcPr>
          <w:p/>
        </w:tc>
        <w:tc>
          <w:tcPr>
            <w:tcW w:w="1398" w:type="dxa"/>
            <w:vMerge w:val="continue"/>
            <w:shd w:val="clear" w:color="auto" w:fill="auto"/>
            <w:vAlign w:val="center"/>
          </w:tcPr>
          <w:p/>
        </w:tc>
        <w:tc>
          <w:tcPr>
            <w:tcW w:w="879" w:type="dxa"/>
            <w:vMerge w:val="continue"/>
            <w:shd w:val="clear" w:color="auto" w:fill="auto"/>
            <w:vAlign w:val="center"/>
          </w:tcPr>
          <w:p/>
        </w:tc>
        <w:tc>
          <w:tcPr>
            <w:tcW w:w="879" w:type="dxa"/>
            <w:vMerge w:val="continue"/>
            <w:shd w:val="clear" w:color="auto" w:fill="auto"/>
            <w:vAlign w:val="center"/>
          </w:tcPr>
          <w:p/>
        </w:tc>
        <w:tc>
          <w:tcPr>
            <w:tcW w:w="902" w:type="dxa"/>
            <w:vMerge w:val="continue"/>
            <w:shd w:val="clear" w:color="auto" w:fill="auto"/>
            <w:vAlign w:val="center"/>
          </w:tcPr>
          <w:p/>
        </w:tc>
        <w:tc>
          <w:tcPr>
            <w:tcW w:w="899" w:type="dxa"/>
            <w:vMerge w:val="continue"/>
            <w:shd w:val="clear" w:color="auto" w:fill="auto"/>
            <w:vAlign w:val="center"/>
          </w:tcPr>
          <w:p/>
        </w:tc>
        <w:tc>
          <w:tcPr>
            <w:tcW w:w="899" w:type="dxa"/>
            <w:shd w:val="clear" w:color="auto" w:fill="auto"/>
            <w:vAlign w:val="center"/>
          </w:tcPr>
          <w:p>
            <w:pPr>
              <w:spacing w:line="300" w:lineRule="exact"/>
              <w:jc w:val="center"/>
              <w:rPr>
                <w:rFonts w:hint="eastAsia" w:ascii="仿宋_GB2312" w:eastAsia="仿宋_GB2312" w:cs="Times New Roman"/>
                <w:b/>
                <w:sz w:val="32"/>
                <w:szCs w:val="32"/>
              </w:rPr>
            </w:pPr>
            <w:r>
              <w:rPr>
                <w:rFonts w:hint="eastAsia" w:ascii="仿宋_GB2312" w:eastAsia="仿宋_GB2312" w:cs="Times New Roman"/>
                <w:b/>
                <w:sz w:val="32"/>
                <w:szCs w:val="32"/>
              </w:rPr>
              <w:t>合计</w:t>
            </w:r>
          </w:p>
        </w:tc>
        <w:tc>
          <w:tcPr>
            <w:tcW w:w="899" w:type="dxa"/>
            <w:shd w:val="clear" w:color="auto" w:fill="auto"/>
            <w:vAlign w:val="center"/>
          </w:tcPr>
          <w:p>
            <w:pPr>
              <w:spacing w:line="300" w:lineRule="exact"/>
              <w:jc w:val="center"/>
              <w:rPr>
                <w:rFonts w:hint="eastAsia" w:ascii="仿宋_GB2312" w:eastAsia="仿宋_GB2312" w:cs="Times New Roman"/>
                <w:b/>
                <w:sz w:val="32"/>
                <w:szCs w:val="32"/>
              </w:rPr>
            </w:pPr>
            <w:r>
              <w:rPr>
                <w:rFonts w:hint="eastAsia" w:ascii="仿宋_GB2312" w:eastAsia="仿宋_GB2312" w:cs="Times New Roman"/>
                <w:b/>
                <w:sz w:val="32"/>
                <w:szCs w:val="32"/>
              </w:rPr>
              <w:t>一般公共预算拨款</w:t>
            </w:r>
          </w:p>
        </w:tc>
        <w:tc>
          <w:tcPr>
            <w:tcW w:w="818" w:type="dxa"/>
            <w:shd w:val="clear" w:color="auto" w:fill="auto"/>
            <w:vAlign w:val="center"/>
          </w:tcPr>
          <w:p>
            <w:pPr>
              <w:spacing w:line="300" w:lineRule="exact"/>
              <w:jc w:val="center"/>
              <w:rPr>
                <w:rFonts w:hint="eastAsia" w:ascii="仿宋_GB2312" w:eastAsia="仿宋_GB2312" w:cs="Times New Roman"/>
                <w:b/>
                <w:sz w:val="32"/>
                <w:szCs w:val="32"/>
              </w:rPr>
            </w:pPr>
            <w:r>
              <w:rPr>
                <w:rFonts w:hint="eastAsia" w:ascii="仿宋_GB2312" w:eastAsia="仿宋_GB2312" w:cs="Times New Roman"/>
                <w:b/>
                <w:sz w:val="32"/>
                <w:szCs w:val="32"/>
              </w:rPr>
              <w:t>基金预算拨款</w:t>
            </w:r>
          </w:p>
        </w:tc>
        <w:tc>
          <w:tcPr>
            <w:tcW w:w="881" w:type="dxa"/>
            <w:shd w:val="clear" w:color="auto" w:fill="auto"/>
            <w:vAlign w:val="center"/>
          </w:tcPr>
          <w:p>
            <w:pPr>
              <w:spacing w:line="300" w:lineRule="exact"/>
              <w:jc w:val="center"/>
              <w:rPr>
                <w:rFonts w:hint="eastAsia" w:ascii="仿宋_GB2312" w:eastAsia="仿宋_GB2312" w:cs="Times New Roman"/>
                <w:b/>
                <w:sz w:val="32"/>
                <w:szCs w:val="32"/>
              </w:rPr>
            </w:pPr>
            <w:r>
              <w:rPr>
                <w:rFonts w:hint="eastAsia" w:ascii="仿宋_GB2312" w:eastAsia="仿宋_GB2312" w:cs="Times New Roman"/>
                <w:b/>
                <w:sz w:val="32"/>
                <w:szCs w:val="32"/>
              </w:rPr>
              <w:t>财政专户核拨</w:t>
            </w:r>
          </w:p>
        </w:tc>
        <w:tc>
          <w:tcPr>
            <w:tcW w:w="881" w:type="dxa"/>
            <w:shd w:val="clear" w:color="auto" w:fill="auto"/>
            <w:vAlign w:val="center"/>
          </w:tcPr>
          <w:p>
            <w:pPr>
              <w:spacing w:line="300" w:lineRule="exact"/>
              <w:jc w:val="center"/>
              <w:rPr>
                <w:rFonts w:hint="eastAsia" w:ascii="仿宋_GB2312" w:eastAsia="仿宋_GB2312" w:cs="Times New Roman"/>
                <w:b/>
                <w:sz w:val="32"/>
                <w:szCs w:val="32"/>
              </w:rPr>
            </w:pPr>
            <w:r>
              <w:rPr>
                <w:rFonts w:hint="eastAsia" w:ascii="仿宋_GB2312" w:eastAsia="仿宋_GB2312" w:cs="Times New Roman"/>
                <w:b/>
                <w:sz w:val="32"/>
                <w:szCs w:val="32"/>
              </w:rPr>
              <w:t>其他来源收入</w:t>
            </w:r>
          </w:p>
        </w:tc>
        <w:tc>
          <w:tcPr>
            <w:tcW w:w="829"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2392" w:type="dxa"/>
            <w:shd w:val="clear" w:color="auto" w:fill="auto"/>
            <w:vAlign w:val="center"/>
          </w:tcPr>
          <w:p>
            <w:pPr>
              <w:spacing w:line="300" w:lineRule="exact"/>
              <w:jc w:val="center"/>
              <w:rPr>
                <w:rFonts w:hint="eastAsia" w:ascii="仿宋_GB2312" w:eastAsia="仿宋_GB2312" w:cs="Times New Roman"/>
                <w:b/>
                <w:sz w:val="32"/>
                <w:szCs w:val="32"/>
              </w:rPr>
            </w:pPr>
            <w:r>
              <w:rPr>
                <w:rFonts w:hint="eastAsia" w:ascii="仿宋_GB2312" w:eastAsia="仿宋_GB2312" w:cs="Times New Roman"/>
                <w:b/>
                <w:sz w:val="32"/>
                <w:szCs w:val="32"/>
              </w:rPr>
              <w:t>合　计</w:t>
            </w:r>
          </w:p>
        </w:tc>
        <w:tc>
          <w:tcPr>
            <w:tcW w:w="1067" w:type="dxa"/>
            <w:shd w:val="clear" w:color="auto" w:fill="auto"/>
            <w:vAlign w:val="center"/>
          </w:tcPr>
          <w:p>
            <w:pPr>
              <w:spacing w:line="300" w:lineRule="exact"/>
              <w:jc w:val="right"/>
              <w:rPr>
                <w:rFonts w:hint="eastAsia" w:ascii="仿宋_GB2312" w:eastAsia="仿宋_GB2312" w:cs="Times New Roman"/>
                <w:b/>
                <w:sz w:val="32"/>
                <w:szCs w:val="32"/>
              </w:rPr>
            </w:pPr>
          </w:p>
        </w:tc>
        <w:tc>
          <w:tcPr>
            <w:tcW w:w="879" w:type="dxa"/>
            <w:shd w:val="clear" w:color="auto" w:fill="auto"/>
            <w:vAlign w:val="center"/>
          </w:tcPr>
          <w:p>
            <w:pPr>
              <w:spacing w:line="300" w:lineRule="exact"/>
              <w:jc w:val="left"/>
              <w:rPr>
                <w:rFonts w:hint="eastAsia" w:ascii="仿宋_GB2312" w:eastAsia="仿宋_GB2312" w:cs="Times New Roman"/>
                <w:b/>
                <w:sz w:val="32"/>
                <w:szCs w:val="32"/>
              </w:rPr>
            </w:pPr>
          </w:p>
        </w:tc>
        <w:tc>
          <w:tcPr>
            <w:tcW w:w="1398" w:type="dxa"/>
            <w:shd w:val="clear" w:color="auto" w:fill="auto"/>
            <w:vAlign w:val="center"/>
          </w:tcPr>
          <w:p>
            <w:pPr>
              <w:spacing w:line="300" w:lineRule="exact"/>
              <w:jc w:val="left"/>
              <w:rPr>
                <w:rFonts w:hint="eastAsia" w:ascii="仿宋_GB2312" w:eastAsia="仿宋_GB2312" w:cs="Times New Roman"/>
                <w:b/>
                <w:sz w:val="32"/>
                <w:szCs w:val="32"/>
              </w:rPr>
            </w:pPr>
          </w:p>
        </w:tc>
        <w:tc>
          <w:tcPr>
            <w:tcW w:w="879" w:type="dxa"/>
            <w:shd w:val="clear" w:color="auto" w:fill="auto"/>
            <w:vAlign w:val="center"/>
          </w:tcPr>
          <w:p>
            <w:pPr>
              <w:spacing w:line="300" w:lineRule="exact"/>
              <w:jc w:val="left"/>
              <w:rPr>
                <w:rFonts w:hint="eastAsia" w:ascii="仿宋_GB2312" w:eastAsia="仿宋_GB2312" w:cs="Times New Roman"/>
                <w:b/>
                <w:sz w:val="32"/>
                <w:szCs w:val="32"/>
              </w:rPr>
            </w:pPr>
          </w:p>
        </w:tc>
        <w:tc>
          <w:tcPr>
            <w:tcW w:w="879" w:type="dxa"/>
            <w:shd w:val="clear" w:color="auto" w:fill="auto"/>
            <w:vAlign w:val="center"/>
          </w:tcPr>
          <w:p>
            <w:pPr>
              <w:spacing w:line="300" w:lineRule="exact"/>
              <w:jc w:val="right"/>
              <w:rPr>
                <w:rFonts w:hint="eastAsia" w:ascii="仿宋_GB2312" w:eastAsia="仿宋_GB2312" w:cs="Times New Roman"/>
                <w:b/>
                <w:sz w:val="32"/>
                <w:szCs w:val="32"/>
              </w:rPr>
            </w:pPr>
          </w:p>
        </w:tc>
        <w:tc>
          <w:tcPr>
            <w:tcW w:w="902" w:type="dxa"/>
            <w:shd w:val="clear" w:color="auto" w:fill="auto"/>
            <w:vAlign w:val="center"/>
          </w:tcPr>
          <w:p>
            <w:pPr>
              <w:spacing w:line="300" w:lineRule="exact"/>
              <w:jc w:val="right"/>
              <w:rPr>
                <w:rFonts w:hint="eastAsia" w:ascii="仿宋_GB2312" w:eastAsia="仿宋_GB2312" w:cs="Times New Roman"/>
                <w:b/>
                <w:sz w:val="32"/>
                <w:szCs w:val="32"/>
              </w:rPr>
            </w:pPr>
          </w:p>
        </w:tc>
        <w:tc>
          <w:tcPr>
            <w:tcW w:w="899" w:type="dxa"/>
            <w:shd w:val="clear" w:color="auto" w:fill="auto"/>
            <w:vAlign w:val="center"/>
          </w:tcPr>
          <w:p>
            <w:pPr>
              <w:spacing w:line="300" w:lineRule="exact"/>
              <w:jc w:val="right"/>
              <w:rPr>
                <w:rFonts w:hint="eastAsia" w:ascii="仿宋_GB2312" w:eastAsia="仿宋_GB2312" w:cs="Times New Roman"/>
                <w:b/>
                <w:sz w:val="32"/>
                <w:szCs w:val="32"/>
              </w:rPr>
            </w:pPr>
          </w:p>
        </w:tc>
        <w:tc>
          <w:tcPr>
            <w:tcW w:w="899" w:type="dxa"/>
            <w:shd w:val="clear" w:color="auto" w:fill="auto"/>
            <w:vAlign w:val="center"/>
          </w:tcPr>
          <w:p>
            <w:pPr>
              <w:spacing w:line="300" w:lineRule="exact"/>
              <w:jc w:val="right"/>
              <w:rPr>
                <w:rFonts w:hint="eastAsia" w:ascii="仿宋_GB2312" w:eastAsia="仿宋_GB2312" w:cs="Times New Roman"/>
                <w:b/>
                <w:sz w:val="32"/>
                <w:szCs w:val="32"/>
              </w:rPr>
            </w:pPr>
          </w:p>
        </w:tc>
        <w:tc>
          <w:tcPr>
            <w:tcW w:w="899" w:type="dxa"/>
            <w:shd w:val="clear" w:color="auto" w:fill="auto"/>
            <w:vAlign w:val="center"/>
          </w:tcPr>
          <w:p>
            <w:pPr>
              <w:spacing w:line="300" w:lineRule="exact"/>
              <w:jc w:val="right"/>
              <w:rPr>
                <w:rFonts w:hint="eastAsia" w:ascii="仿宋_GB2312" w:eastAsia="仿宋_GB2312" w:cs="Times New Roman"/>
                <w:b/>
                <w:sz w:val="32"/>
                <w:szCs w:val="32"/>
              </w:rPr>
            </w:pPr>
          </w:p>
        </w:tc>
        <w:tc>
          <w:tcPr>
            <w:tcW w:w="818" w:type="dxa"/>
            <w:shd w:val="clear" w:color="auto" w:fill="auto"/>
            <w:vAlign w:val="center"/>
          </w:tcPr>
          <w:p>
            <w:pPr>
              <w:spacing w:line="300" w:lineRule="exact"/>
              <w:jc w:val="right"/>
              <w:rPr>
                <w:rFonts w:hint="eastAsia" w:ascii="仿宋_GB2312" w:eastAsia="仿宋_GB2312" w:cs="Times New Roman"/>
                <w:b/>
                <w:sz w:val="32"/>
                <w:szCs w:val="32"/>
              </w:rPr>
            </w:pPr>
          </w:p>
        </w:tc>
        <w:tc>
          <w:tcPr>
            <w:tcW w:w="881" w:type="dxa"/>
            <w:shd w:val="clear" w:color="auto" w:fill="auto"/>
            <w:vAlign w:val="center"/>
          </w:tcPr>
          <w:p>
            <w:pPr>
              <w:spacing w:line="300" w:lineRule="exact"/>
              <w:jc w:val="right"/>
              <w:rPr>
                <w:rFonts w:hint="eastAsia" w:ascii="仿宋_GB2312" w:eastAsia="仿宋_GB2312" w:cs="Times New Roman"/>
                <w:b/>
                <w:sz w:val="32"/>
                <w:szCs w:val="32"/>
              </w:rPr>
            </w:pPr>
          </w:p>
        </w:tc>
        <w:tc>
          <w:tcPr>
            <w:tcW w:w="881" w:type="dxa"/>
            <w:shd w:val="clear" w:color="auto" w:fill="auto"/>
            <w:vAlign w:val="center"/>
          </w:tcPr>
          <w:p>
            <w:pPr>
              <w:spacing w:line="300" w:lineRule="exact"/>
              <w:jc w:val="right"/>
              <w:rPr>
                <w:rFonts w:hint="eastAsia" w:ascii="仿宋_GB2312" w:eastAsia="仿宋_GB2312" w:cs="Times New Roman"/>
                <w:b/>
                <w:sz w:val="32"/>
                <w:szCs w:val="32"/>
              </w:rPr>
            </w:pPr>
          </w:p>
        </w:tc>
        <w:tc>
          <w:tcPr>
            <w:tcW w:w="829" w:type="dxa"/>
            <w:shd w:val="clear" w:color="auto" w:fill="auto"/>
            <w:vAlign w:val="center"/>
          </w:tcPr>
          <w:p>
            <w:pPr>
              <w:spacing w:line="300" w:lineRule="exact"/>
              <w:jc w:val="right"/>
              <w:rPr>
                <w:rFonts w:hint="eastAsia" w:ascii="仿宋_GB2312" w:eastAsia="仿宋_GB2312" w:cs="Times New Roman"/>
                <w:b/>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2392" w:type="dxa"/>
            <w:shd w:val="clear" w:color="auto" w:fill="auto"/>
            <w:vAlign w:val="center"/>
          </w:tcPr>
          <w:p>
            <w:pPr>
              <w:spacing w:line="300" w:lineRule="exact"/>
              <w:jc w:val="center"/>
              <w:rPr>
                <w:rFonts w:hint="eastAsia" w:ascii="仿宋_GB2312" w:eastAsia="仿宋_GB2312" w:cs="Times New Roman"/>
                <w:b/>
                <w:sz w:val="32"/>
                <w:szCs w:val="32"/>
              </w:rPr>
            </w:pPr>
          </w:p>
        </w:tc>
        <w:tc>
          <w:tcPr>
            <w:tcW w:w="1067" w:type="dxa"/>
            <w:shd w:val="clear" w:color="auto" w:fill="auto"/>
            <w:vAlign w:val="center"/>
          </w:tcPr>
          <w:p>
            <w:pPr>
              <w:spacing w:line="300" w:lineRule="exact"/>
              <w:jc w:val="right"/>
              <w:rPr>
                <w:rFonts w:hint="eastAsia" w:ascii="仿宋_GB2312" w:eastAsia="仿宋_GB2312" w:cs="Times New Roman"/>
                <w:b/>
                <w:sz w:val="32"/>
                <w:szCs w:val="32"/>
              </w:rPr>
            </w:pPr>
          </w:p>
        </w:tc>
        <w:tc>
          <w:tcPr>
            <w:tcW w:w="879" w:type="dxa"/>
            <w:shd w:val="clear" w:color="auto" w:fill="auto"/>
            <w:vAlign w:val="center"/>
          </w:tcPr>
          <w:p>
            <w:pPr>
              <w:spacing w:line="300" w:lineRule="exact"/>
              <w:jc w:val="left"/>
              <w:rPr>
                <w:rFonts w:hint="eastAsia" w:ascii="仿宋_GB2312" w:eastAsia="仿宋_GB2312" w:cs="Times New Roman"/>
                <w:b/>
                <w:sz w:val="32"/>
                <w:szCs w:val="32"/>
              </w:rPr>
            </w:pPr>
          </w:p>
        </w:tc>
        <w:tc>
          <w:tcPr>
            <w:tcW w:w="1398" w:type="dxa"/>
            <w:shd w:val="clear" w:color="auto" w:fill="auto"/>
            <w:vAlign w:val="center"/>
          </w:tcPr>
          <w:p>
            <w:pPr>
              <w:spacing w:line="300" w:lineRule="exact"/>
              <w:jc w:val="left"/>
              <w:rPr>
                <w:rFonts w:hint="eastAsia" w:ascii="仿宋_GB2312" w:eastAsia="仿宋_GB2312" w:cs="Times New Roman"/>
                <w:b/>
                <w:sz w:val="32"/>
                <w:szCs w:val="32"/>
              </w:rPr>
            </w:pPr>
          </w:p>
        </w:tc>
        <w:tc>
          <w:tcPr>
            <w:tcW w:w="879" w:type="dxa"/>
            <w:shd w:val="clear" w:color="auto" w:fill="auto"/>
            <w:vAlign w:val="center"/>
          </w:tcPr>
          <w:p>
            <w:pPr>
              <w:spacing w:line="300" w:lineRule="exact"/>
              <w:jc w:val="left"/>
              <w:rPr>
                <w:rFonts w:hint="eastAsia" w:ascii="仿宋_GB2312" w:eastAsia="仿宋_GB2312" w:cs="Times New Roman"/>
                <w:b/>
                <w:sz w:val="32"/>
                <w:szCs w:val="32"/>
              </w:rPr>
            </w:pPr>
          </w:p>
        </w:tc>
        <w:tc>
          <w:tcPr>
            <w:tcW w:w="879" w:type="dxa"/>
            <w:shd w:val="clear" w:color="auto" w:fill="auto"/>
            <w:vAlign w:val="center"/>
          </w:tcPr>
          <w:p>
            <w:pPr>
              <w:spacing w:line="300" w:lineRule="exact"/>
              <w:jc w:val="right"/>
              <w:rPr>
                <w:rFonts w:hint="eastAsia" w:ascii="仿宋_GB2312" w:eastAsia="仿宋_GB2312" w:cs="Times New Roman"/>
                <w:b/>
                <w:sz w:val="32"/>
                <w:szCs w:val="32"/>
              </w:rPr>
            </w:pPr>
          </w:p>
        </w:tc>
        <w:tc>
          <w:tcPr>
            <w:tcW w:w="902" w:type="dxa"/>
            <w:shd w:val="clear" w:color="auto" w:fill="auto"/>
            <w:vAlign w:val="center"/>
          </w:tcPr>
          <w:p>
            <w:pPr>
              <w:spacing w:line="300" w:lineRule="exact"/>
              <w:jc w:val="right"/>
              <w:rPr>
                <w:rFonts w:hint="eastAsia" w:ascii="仿宋_GB2312" w:eastAsia="仿宋_GB2312" w:cs="Times New Roman"/>
                <w:b/>
                <w:sz w:val="32"/>
                <w:szCs w:val="32"/>
              </w:rPr>
            </w:pPr>
          </w:p>
        </w:tc>
        <w:tc>
          <w:tcPr>
            <w:tcW w:w="899" w:type="dxa"/>
            <w:shd w:val="clear" w:color="auto" w:fill="auto"/>
            <w:vAlign w:val="center"/>
          </w:tcPr>
          <w:p>
            <w:pPr>
              <w:spacing w:line="300" w:lineRule="exact"/>
              <w:jc w:val="right"/>
              <w:rPr>
                <w:rFonts w:hint="eastAsia" w:ascii="仿宋_GB2312" w:eastAsia="仿宋_GB2312" w:cs="Times New Roman"/>
                <w:b/>
                <w:sz w:val="32"/>
                <w:szCs w:val="32"/>
              </w:rPr>
            </w:pPr>
          </w:p>
        </w:tc>
        <w:tc>
          <w:tcPr>
            <w:tcW w:w="899" w:type="dxa"/>
            <w:shd w:val="clear" w:color="auto" w:fill="auto"/>
            <w:vAlign w:val="center"/>
          </w:tcPr>
          <w:p>
            <w:pPr>
              <w:spacing w:line="300" w:lineRule="exact"/>
              <w:jc w:val="right"/>
              <w:rPr>
                <w:rFonts w:hint="eastAsia" w:ascii="仿宋_GB2312" w:eastAsia="仿宋_GB2312" w:cs="Times New Roman"/>
                <w:b/>
                <w:sz w:val="32"/>
                <w:szCs w:val="32"/>
              </w:rPr>
            </w:pPr>
          </w:p>
        </w:tc>
        <w:tc>
          <w:tcPr>
            <w:tcW w:w="899" w:type="dxa"/>
            <w:shd w:val="clear" w:color="auto" w:fill="auto"/>
            <w:vAlign w:val="center"/>
          </w:tcPr>
          <w:p>
            <w:pPr>
              <w:spacing w:line="300" w:lineRule="exact"/>
              <w:jc w:val="right"/>
              <w:rPr>
                <w:rFonts w:hint="eastAsia" w:ascii="仿宋_GB2312" w:eastAsia="仿宋_GB2312" w:cs="Times New Roman"/>
                <w:b/>
                <w:sz w:val="32"/>
                <w:szCs w:val="32"/>
              </w:rPr>
            </w:pPr>
          </w:p>
        </w:tc>
        <w:tc>
          <w:tcPr>
            <w:tcW w:w="818" w:type="dxa"/>
            <w:shd w:val="clear" w:color="auto" w:fill="auto"/>
            <w:vAlign w:val="center"/>
          </w:tcPr>
          <w:p>
            <w:pPr>
              <w:spacing w:line="300" w:lineRule="exact"/>
              <w:jc w:val="right"/>
              <w:rPr>
                <w:rFonts w:hint="eastAsia" w:ascii="仿宋_GB2312" w:eastAsia="仿宋_GB2312" w:cs="Times New Roman"/>
                <w:b/>
                <w:sz w:val="32"/>
                <w:szCs w:val="32"/>
              </w:rPr>
            </w:pPr>
          </w:p>
        </w:tc>
        <w:tc>
          <w:tcPr>
            <w:tcW w:w="881" w:type="dxa"/>
            <w:shd w:val="clear" w:color="auto" w:fill="auto"/>
            <w:vAlign w:val="center"/>
          </w:tcPr>
          <w:p>
            <w:pPr>
              <w:spacing w:line="300" w:lineRule="exact"/>
              <w:jc w:val="right"/>
              <w:rPr>
                <w:rFonts w:hint="eastAsia" w:ascii="仿宋_GB2312" w:eastAsia="仿宋_GB2312" w:cs="Times New Roman"/>
                <w:b/>
                <w:sz w:val="32"/>
                <w:szCs w:val="32"/>
              </w:rPr>
            </w:pPr>
          </w:p>
        </w:tc>
        <w:tc>
          <w:tcPr>
            <w:tcW w:w="881" w:type="dxa"/>
            <w:shd w:val="clear" w:color="auto" w:fill="auto"/>
            <w:vAlign w:val="center"/>
          </w:tcPr>
          <w:p>
            <w:pPr>
              <w:spacing w:line="300" w:lineRule="exact"/>
              <w:jc w:val="right"/>
              <w:rPr>
                <w:rFonts w:hint="eastAsia" w:ascii="仿宋_GB2312" w:eastAsia="仿宋_GB2312" w:cs="Times New Roman"/>
                <w:b/>
                <w:sz w:val="32"/>
                <w:szCs w:val="32"/>
              </w:rPr>
            </w:pPr>
          </w:p>
        </w:tc>
        <w:tc>
          <w:tcPr>
            <w:tcW w:w="829" w:type="dxa"/>
            <w:shd w:val="clear" w:color="auto" w:fill="auto"/>
            <w:vAlign w:val="center"/>
          </w:tcPr>
          <w:p>
            <w:pPr>
              <w:spacing w:line="300" w:lineRule="exact"/>
              <w:jc w:val="right"/>
              <w:rPr>
                <w:rFonts w:hint="eastAsia" w:ascii="仿宋_GB2312" w:eastAsia="仿宋_GB2312" w:cs="Times New Roman"/>
                <w:b/>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2392" w:type="dxa"/>
            <w:shd w:val="clear" w:color="auto" w:fill="auto"/>
            <w:vAlign w:val="center"/>
          </w:tcPr>
          <w:p>
            <w:pPr>
              <w:spacing w:line="300" w:lineRule="exact"/>
              <w:jc w:val="left"/>
              <w:rPr>
                <w:rFonts w:hint="eastAsia" w:ascii="仿宋_GB2312" w:eastAsia="仿宋_GB2312" w:cs="Times New Roman"/>
                <w:sz w:val="32"/>
                <w:szCs w:val="32"/>
              </w:rPr>
            </w:pPr>
          </w:p>
        </w:tc>
        <w:tc>
          <w:tcPr>
            <w:tcW w:w="1067" w:type="dxa"/>
            <w:shd w:val="clear" w:color="auto" w:fill="auto"/>
            <w:vAlign w:val="center"/>
          </w:tcPr>
          <w:p>
            <w:pPr>
              <w:spacing w:line="300" w:lineRule="exact"/>
              <w:jc w:val="right"/>
              <w:rPr>
                <w:rFonts w:hint="eastAsia" w:ascii="仿宋_GB2312" w:eastAsia="仿宋_GB2312" w:cs="Times New Roman"/>
                <w:sz w:val="32"/>
                <w:szCs w:val="32"/>
              </w:rPr>
            </w:pPr>
          </w:p>
        </w:tc>
        <w:tc>
          <w:tcPr>
            <w:tcW w:w="879" w:type="dxa"/>
            <w:shd w:val="clear" w:color="auto" w:fill="auto"/>
            <w:vAlign w:val="center"/>
          </w:tcPr>
          <w:p>
            <w:pPr>
              <w:spacing w:line="300" w:lineRule="exact"/>
              <w:jc w:val="left"/>
              <w:rPr>
                <w:rFonts w:hint="eastAsia" w:ascii="仿宋_GB2312" w:eastAsia="仿宋_GB2312" w:cs="Times New Roman"/>
                <w:sz w:val="32"/>
                <w:szCs w:val="32"/>
              </w:rPr>
            </w:pPr>
          </w:p>
        </w:tc>
        <w:tc>
          <w:tcPr>
            <w:tcW w:w="1398" w:type="dxa"/>
            <w:shd w:val="clear" w:color="auto" w:fill="auto"/>
            <w:vAlign w:val="center"/>
          </w:tcPr>
          <w:p>
            <w:pPr>
              <w:spacing w:line="300" w:lineRule="exact"/>
              <w:jc w:val="left"/>
              <w:rPr>
                <w:rFonts w:hint="eastAsia" w:ascii="仿宋_GB2312" w:eastAsia="仿宋_GB2312" w:cs="Times New Roman"/>
                <w:sz w:val="32"/>
                <w:szCs w:val="32"/>
              </w:rPr>
            </w:pPr>
          </w:p>
        </w:tc>
        <w:tc>
          <w:tcPr>
            <w:tcW w:w="879" w:type="dxa"/>
            <w:shd w:val="clear" w:color="auto" w:fill="auto"/>
            <w:vAlign w:val="center"/>
          </w:tcPr>
          <w:p>
            <w:pPr>
              <w:spacing w:line="300" w:lineRule="exact"/>
              <w:jc w:val="left"/>
              <w:rPr>
                <w:rFonts w:hint="eastAsia" w:ascii="仿宋_GB2312" w:eastAsia="仿宋_GB2312" w:cs="Times New Roman"/>
                <w:sz w:val="32"/>
                <w:szCs w:val="32"/>
              </w:rPr>
            </w:pPr>
          </w:p>
        </w:tc>
        <w:tc>
          <w:tcPr>
            <w:tcW w:w="879" w:type="dxa"/>
            <w:shd w:val="clear" w:color="auto" w:fill="auto"/>
            <w:vAlign w:val="center"/>
          </w:tcPr>
          <w:p>
            <w:pPr>
              <w:spacing w:line="300" w:lineRule="exact"/>
              <w:jc w:val="right"/>
              <w:rPr>
                <w:rFonts w:hint="eastAsia" w:ascii="仿宋_GB2312" w:eastAsia="仿宋_GB2312" w:cs="Times New Roman"/>
                <w:sz w:val="32"/>
                <w:szCs w:val="32"/>
              </w:rPr>
            </w:pPr>
          </w:p>
        </w:tc>
        <w:tc>
          <w:tcPr>
            <w:tcW w:w="902" w:type="dxa"/>
            <w:shd w:val="clear" w:color="auto" w:fill="auto"/>
            <w:vAlign w:val="center"/>
          </w:tcPr>
          <w:p>
            <w:pPr>
              <w:spacing w:line="300" w:lineRule="exact"/>
              <w:jc w:val="right"/>
              <w:rPr>
                <w:rFonts w:hint="eastAsia" w:ascii="仿宋_GB2312" w:eastAsia="仿宋_GB2312" w:cs="Times New Roman"/>
                <w:sz w:val="32"/>
                <w:szCs w:val="32"/>
              </w:rPr>
            </w:pPr>
          </w:p>
        </w:tc>
        <w:tc>
          <w:tcPr>
            <w:tcW w:w="899" w:type="dxa"/>
            <w:shd w:val="clear" w:color="auto" w:fill="auto"/>
            <w:vAlign w:val="center"/>
          </w:tcPr>
          <w:p>
            <w:pPr>
              <w:spacing w:line="300" w:lineRule="exact"/>
              <w:jc w:val="right"/>
              <w:rPr>
                <w:rFonts w:hint="eastAsia" w:ascii="仿宋_GB2312" w:eastAsia="仿宋_GB2312" w:cs="Times New Roman"/>
                <w:sz w:val="32"/>
                <w:szCs w:val="32"/>
              </w:rPr>
            </w:pPr>
          </w:p>
        </w:tc>
        <w:tc>
          <w:tcPr>
            <w:tcW w:w="899" w:type="dxa"/>
            <w:shd w:val="clear" w:color="auto" w:fill="auto"/>
            <w:vAlign w:val="center"/>
          </w:tcPr>
          <w:p>
            <w:pPr>
              <w:spacing w:line="300" w:lineRule="exact"/>
              <w:jc w:val="right"/>
              <w:rPr>
                <w:rFonts w:hint="eastAsia" w:ascii="仿宋_GB2312" w:eastAsia="仿宋_GB2312" w:cs="Times New Roman"/>
                <w:sz w:val="32"/>
                <w:szCs w:val="32"/>
              </w:rPr>
            </w:pPr>
          </w:p>
        </w:tc>
        <w:tc>
          <w:tcPr>
            <w:tcW w:w="899" w:type="dxa"/>
            <w:shd w:val="clear" w:color="auto" w:fill="auto"/>
            <w:vAlign w:val="center"/>
          </w:tcPr>
          <w:p>
            <w:pPr>
              <w:spacing w:line="300" w:lineRule="exact"/>
              <w:jc w:val="right"/>
              <w:rPr>
                <w:rFonts w:hint="eastAsia" w:ascii="仿宋_GB2312" w:eastAsia="仿宋_GB2312" w:cs="Times New Roman"/>
                <w:sz w:val="32"/>
                <w:szCs w:val="32"/>
              </w:rPr>
            </w:pPr>
          </w:p>
        </w:tc>
        <w:tc>
          <w:tcPr>
            <w:tcW w:w="818" w:type="dxa"/>
            <w:shd w:val="clear" w:color="auto" w:fill="auto"/>
            <w:vAlign w:val="center"/>
          </w:tcPr>
          <w:p>
            <w:pPr>
              <w:spacing w:line="300" w:lineRule="exact"/>
              <w:jc w:val="right"/>
              <w:rPr>
                <w:rFonts w:hint="eastAsia" w:ascii="仿宋_GB2312" w:eastAsia="仿宋_GB2312" w:cs="Times New Roman"/>
                <w:sz w:val="32"/>
                <w:szCs w:val="32"/>
              </w:rPr>
            </w:pPr>
          </w:p>
        </w:tc>
        <w:tc>
          <w:tcPr>
            <w:tcW w:w="881" w:type="dxa"/>
            <w:shd w:val="clear" w:color="auto" w:fill="auto"/>
            <w:vAlign w:val="center"/>
          </w:tcPr>
          <w:p>
            <w:pPr>
              <w:spacing w:line="300" w:lineRule="exact"/>
              <w:jc w:val="right"/>
              <w:rPr>
                <w:rFonts w:hint="eastAsia" w:ascii="仿宋_GB2312" w:eastAsia="仿宋_GB2312" w:cs="Times New Roman"/>
                <w:sz w:val="32"/>
                <w:szCs w:val="32"/>
              </w:rPr>
            </w:pPr>
          </w:p>
        </w:tc>
        <w:tc>
          <w:tcPr>
            <w:tcW w:w="881" w:type="dxa"/>
            <w:shd w:val="clear" w:color="auto" w:fill="auto"/>
            <w:vAlign w:val="center"/>
          </w:tcPr>
          <w:p>
            <w:pPr>
              <w:spacing w:line="300" w:lineRule="exact"/>
              <w:jc w:val="right"/>
              <w:rPr>
                <w:rFonts w:hint="eastAsia" w:ascii="仿宋_GB2312" w:eastAsia="仿宋_GB2312" w:cs="Times New Roman"/>
                <w:sz w:val="32"/>
                <w:szCs w:val="32"/>
              </w:rPr>
            </w:pPr>
          </w:p>
        </w:tc>
        <w:tc>
          <w:tcPr>
            <w:tcW w:w="829" w:type="dxa"/>
            <w:shd w:val="clear" w:color="auto" w:fill="auto"/>
            <w:vAlign w:val="center"/>
          </w:tcPr>
          <w:p>
            <w:pPr>
              <w:spacing w:line="300" w:lineRule="exact"/>
              <w:jc w:val="right"/>
              <w:rPr>
                <w:rFonts w:hint="eastAsia" w:ascii="仿宋_GB2312" w:eastAsia="仿宋_GB2312" w:cs="Times New Roman"/>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c>
          <w:tcPr>
            <w:tcW w:w="2392" w:type="dxa"/>
            <w:shd w:val="clear" w:color="auto" w:fill="auto"/>
            <w:vAlign w:val="center"/>
          </w:tcPr>
          <w:p>
            <w:pPr>
              <w:spacing w:line="300" w:lineRule="exact"/>
              <w:jc w:val="left"/>
              <w:rPr>
                <w:rFonts w:hint="eastAsia" w:ascii="仿宋_GB2312" w:eastAsia="仿宋_GB2312" w:cs="Times New Roman"/>
                <w:sz w:val="32"/>
                <w:szCs w:val="32"/>
              </w:rPr>
            </w:pPr>
          </w:p>
        </w:tc>
        <w:tc>
          <w:tcPr>
            <w:tcW w:w="1067" w:type="dxa"/>
            <w:shd w:val="clear" w:color="auto" w:fill="auto"/>
            <w:vAlign w:val="center"/>
          </w:tcPr>
          <w:p>
            <w:pPr>
              <w:spacing w:line="300" w:lineRule="exact"/>
              <w:jc w:val="right"/>
              <w:rPr>
                <w:rFonts w:hint="eastAsia" w:ascii="仿宋_GB2312" w:eastAsia="仿宋_GB2312" w:cs="Times New Roman"/>
                <w:sz w:val="32"/>
                <w:szCs w:val="32"/>
              </w:rPr>
            </w:pPr>
          </w:p>
        </w:tc>
        <w:tc>
          <w:tcPr>
            <w:tcW w:w="879" w:type="dxa"/>
            <w:shd w:val="clear" w:color="auto" w:fill="auto"/>
            <w:vAlign w:val="center"/>
          </w:tcPr>
          <w:p>
            <w:pPr>
              <w:spacing w:line="300" w:lineRule="exact"/>
              <w:jc w:val="left"/>
              <w:rPr>
                <w:rFonts w:hint="eastAsia" w:ascii="仿宋_GB2312" w:eastAsia="仿宋_GB2312" w:cs="Times New Roman"/>
                <w:sz w:val="32"/>
                <w:szCs w:val="32"/>
              </w:rPr>
            </w:pPr>
          </w:p>
        </w:tc>
        <w:tc>
          <w:tcPr>
            <w:tcW w:w="1398" w:type="dxa"/>
            <w:shd w:val="clear" w:color="auto" w:fill="auto"/>
            <w:vAlign w:val="center"/>
          </w:tcPr>
          <w:p>
            <w:pPr>
              <w:spacing w:line="300" w:lineRule="exact"/>
              <w:jc w:val="left"/>
              <w:rPr>
                <w:rFonts w:hint="eastAsia" w:ascii="仿宋_GB2312" w:eastAsia="仿宋_GB2312" w:cs="Times New Roman"/>
                <w:sz w:val="32"/>
                <w:szCs w:val="32"/>
              </w:rPr>
            </w:pPr>
          </w:p>
        </w:tc>
        <w:tc>
          <w:tcPr>
            <w:tcW w:w="879" w:type="dxa"/>
            <w:shd w:val="clear" w:color="auto" w:fill="auto"/>
            <w:vAlign w:val="center"/>
          </w:tcPr>
          <w:p>
            <w:pPr>
              <w:spacing w:line="300" w:lineRule="exact"/>
              <w:jc w:val="left"/>
              <w:rPr>
                <w:rFonts w:hint="eastAsia" w:ascii="仿宋_GB2312" w:eastAsia="仿宋_GB2312" w:cs="Times New Roman"/>
                <w:sz w:val="32"/>
                <w:szCs w:val="32"/>
              </w:rPr>
            </w:pPr>
          </w:p>
        </w:tc>
        <w:tc>
          <w:tcPr>
            <w:tcW w:w="879" w:type="dxa"/>
            <w:shd w:val="clear" w:color="auto" w:fill="auto"/>
            <w:vAlign w:val="center"/>
          </w:tcPr>
          <w:p>
            <w:pPr>
              <w:spacing w:line="300" w:lineRule="exact"/>
              <w:jc w:val="right"/>
              <w:rPr>
                <w:rFonts w:hint="eastAsia" w:ascii="仿宋_GB2312" w:eastAsia="仿宋_GB2312" w:cs="Times New Roman"/>
                <w:sz w:val="32"/>
                <w:szCs w:val="32"/>
              </w:rPr>
            </w:pPr>
          </w:p>
        </w:tc>
        <w:tc>
          <w:tcPr>
            <w:tcW w:w="902" w:type="dxa"/>
            <w:shd w:val="clear" w:color="auto" w:fill="auto"/>
            <w:vAlign w:val="center"/>
          </w:tcPr>
          <w:p>
            <w:pPr>
              <w:spacing w:line="300" w:lineRule="exact"/>
              <w:jc w:val="right"/>
              <w:rPr>
                <w:rFonts w:hint="eastAsia" w:ascii="仿宋_GB2312" w:eastAsia="仿宋_GB2312" w:cs="Times New Roman"/>
                <w:sz w:val="32"/>
                <w:szCs w:val="32"/>
              </w:rPr>
            </w:pPr>
          </w:p>
        </w:tc>
        <w:tc>
          <w:tcPr>
            <w:tcW w:w="899" w:type="dxa"/>
            <w:shd w:val="clear" w:color="auto" w:fill="auto"/>
            <w:vAlign w:val="center"/>
          </w:tcPr>
          <w:p>
            <w:pPr>
              <w:spacing w:line="300" w:lineRule="exact"/>
              <w:jc w:val="right"/>
              <w:rPr>
                <w:rFonts w:hint="eastAsia" w:ascii="仿宋_GB2312" w:eastAsia="仿宋_GB2312" w:cs="Times New Roman"/>
                <w:sz w:val="32"/>
                <w:szCs w:val="32"/>
              </w:rPr>
            </w:pPr>
          </w:p>
        </w:tc>
        <w:tc>
          <w:tcPr>
            <w:tcW w:w="899" w:type="dxa"/>
            <w:shd w:val="clear" w:color="auto" w:fill="auto"/>
            <w:vAlign w:val="center"/>
          </w:tcPr>
          <w:p>
            <w:pPr>
              <w:spacing w:line="300" w:lineRule="exact"/>
              <w:jc w:val="right"/>
              <w:rPr>
                <w:rFonts w:hint="eastAsia" w:ascii="仿宋_GB2312" w:eastAsia="仿宋_GB2312" w:cs="Times New Roman"/>
                <w:sz w:val="32"/>
                <w:szCs w:val="32"/>
              </w:rPr>
            </w:pPr>
          </w:p>
        </w:tc>
        <w:tc>
          <w:tcPr>
            <w:tcW w:w="899" w:type="dxa"/>
            <w:shd w:val="clear" w:color="auto" w:fill="auto"/>
            <w:vAlign w:val="center"/>
          </w:tcPr>
          <w:p>
            <w:pPr>
              <w:spacing w:line="300" w:lineRule="exact"/>
              <w:jc w:val="right"/>
              <w:rPr>
                <w:rFonts w:hint="eastAsia" w:ascii="仿宋_GB2312" w:eastAsia="仿宋_GB2312" w:cs="Times New Roman"/>
                <w:sz w:val="32"/>
                <w:szCs w:val="32"/>
              </w:rPr>
            </w:pPr>
          </w:p>
        </w:tc>
        <w:tc>
          <w:tcPr>
            <w:tcW w:w="818" w:type="dxa"/>
            <w:shd w:val="clear" w:color="auto" w:fill="auto"/>
            <w:vAlign w:val="center"/>
          </w:tcPr>
          <w:p>
            <w:pPr>
              <w:spacing w:line="300" w:lineRule="exact"/>
              <w:jc w:val="right"/>
              <w:rPr>
                <w:rFonts w:hint="eastAsia" w:ascii="仿宋_GB2312" w:eastAsia="仿宋_GB2312" w:cs="Times New Roman"/>
                <w:sz w:val="32"/>
                <w:szCs w:val="32"/>
              </w:rPr>
            </w:pPr>
          </w:p>
        </w:tc>
        <w:tc>
          <w:tcPr>
            <w:tcW w:w="881" w:type="dxa"/>
            <w:shd w:val="clear" w:color="auto" w:fill="auto"/>
            <w:vAlign w:val="center"/>
          </w:tcPr>
          <w:p>
            <w:pPr>
              <w:spacing w:line="300" w:lineRule="exact"/>
              <w:jc w:val="right"/>
              <w:rPr>
                <w:rFonts w:hint="eastAsia" w:ascii="仿宋_GB2312" w:eastAsia="仿宋_GB2312" w:cs="Times New Roman"/>
                <w:sz w:val="32"/>
                <w:szCs w:val="32"/>
              </w:rPr>
            </w:pPr>
          </w:p>
        </w:tc>
        <w:tc>
          <w:tcPr>
            <w:tcW w:w="881" w:type="dxa"/>
            <w:shd w:val="clear" w:color="auto" w:fill="auto"/>
            <w:vAlign w:val="center"/>
          </w:tcPr>
          <w:p>
            <w:pPr>
              <w:spacing w:line="300" w:lineRule="exact"/>
              <w:jc w:val="right"/>
              <w:rPr>
                <w:rFonts w:hint="eastAsia" w:ascii="仿宋_GB2312" w:eastAsia="仿宋_GB2312" w:cs="Times New Roman"/>
                <w:sz w:val="32"/>
                <w:szCs w:val="32"/>
              </w:rPr>
            </w:pPr>
          </w:p>
        </w:tc>
        <w:tc>
          <w:tcPr>
            <w:tcW w:w="829" w:type="dxa"/>
            <w:shd w:val="clear" w:color="auto" w:fill="auto"/>
            <w:vAlign w:val="center"/>
          </w:tcPr>
          <w:p>
            <w:pPr>
              <w:spacing w:line="300" w:lineRule="exact"/>
              <w:jc w:val="right"/>
              <w:rPr>
                <w:rFonts w:hint="eastAsia" w:ascii="仿宋_GB2312" w:eastAsia="仿宋_GB2312" w:cs="Times New Roman"/>
                <w:sz w:val="32"/>
                <w:szCs w:val="32"/>
              </w:rPr>
            </w:pPr>
          </w:p>
        </w:tc>
      </w:tr>
    </w:tbl>
    <w:p>
      <w:pPr>
        <w:jc w:val="center"/>
        <w:outlineLvl w:val="0"/>
        <w:rPr>
          <w:rFonts w:hint="eastAsia" w:ascii="仿宋_GB2312" w:eastAsia="仿宋_GB2312" w:cs="Times New Roman"/>
          <w:sz w:val="32"/>
          <w:szCs w:val="32"/>
        </w:rPr>
      </w:pPr>
      <w:r>
        <w:rPr>
          <w:rFonts w:hint="eastAsia" w:ascii="仿宋_GB2312" w:eastAsia="仿宋_GB2312" w:cs="Times New Roman"/>
          <w:sz w:val="32"/>
          <w:szCs w:val="32"/>
        </w:rPr>
        <w:t>部门政府采购预算</w:t>
      </w:r>
    </w:p>
    <w:p>
      <w:pPr>
        <w:widowControl/>
        <w:spacing w:line="360" w:lineRule="atLeast"/>
        <w:jc w:val="left"/>
        <w:rPr>
          <w:rFonts w:ascii="黑体" w:eastAsia="黑体" w:cs="宋体"/>
          <w:b/>
          <w:bCs/>
          <w:color w:val="000000"/>
          <w:kern w:val="0"/>
          <w:sz w:val="32"/>
          <w:szCs w:val="32"/>
        </w:rPr>
      </w:pPr>
    </w:p>
    <w:p>
      <w:pPr>
        <w:widowControl/>
        <w:spacing w:line="360" w:lineRule="atLeast"/>
        <w:jc w:val="left"/>
        <w:rPr>
          <w:rFonts w:ascii="黑体" w:eastAsia="黑体" w:cs="宋体"/>
          <w:b/>
          <w:bCs/>
          <w:color w:val="000000"/>
          <w:kern w:val="0"/>
          <w:sz w:val="32"/>
          <w:szCs w:val="32"/>
        </w:rPr>
      </w:pPr>
    </w:p>
    <w:p>
      <w:pPr>
        <w:widowControl/>
        <w:spacing w:line="360" w:lineRule="atLeast"/>
        <w:jc w:val="left"/>
        <w:rPr>
          <w:rFonts w:ascii="黑体" w:eastAsia="黑体" w:cs="宋体"/>
          <w:b/>
          <w:bCs/>
          <w:color w:val="000000"/>
          <w:kern w:val="0"/>
          <w:sz w:val="32"/>
          <w:szCs w:val="32"/>
        </w:rPr>
      </w:pPr>
    </w:p>
    <w:p>
      <w:pPr>
        <w:widowControl/>
        <w:spacing w:line="360" w:lineRule="atLeast"/>
        <w:jc w:val="left"/>
        <w:rPr>
          <w:rFonts w:ascii="黑体" w:eastAsia="黑体" w:cs="宋体"/>
          <w:b/>
          <w:bCs/>
          <w:color w:val="000000"/>
          <w:kern w:val="0"/>
          <w:sz w:val="32"/>
          <w:szCs w:val="32"/>
        </w:rPr>
      </w:pPr>
    </w:p>
    <w:p>
      <w:pPr>
        <w:widowControl/>
        <w:spacing w:line="360" w:lineRule="atLeast"/>
        <w:jc w:val="left"/>
        <w:rPr>
          <w:rFonts w:hint="eastAsia" w:ascii="仿宋_GB2312" w:eastAsia="仿宋_GB2312" w:cs="宋体"/>
          <w:color w:val="000000"/>
          <w:kern w:val="0"/>
          <w:sz w:val="32"/>
          <w:szCs w:val="32"/>
        </w:rPr>
      </w:pPr>
      <w:r>
        <w:rPr>
          <w:rFonts w:hint="eastAsia" w:ascii="黑体" w:eastAsia="黑体" w:cs="宋体"/>
          <w:b/>
          <w:bCs/>
          <w:color w:val="000000"/>
          <w:kern w:val="0"/>
          <w:sz w:val="32"/>
          <w:szCs w:val="32"/>
        </w:rPr>
        <w:t>七、国有资产信息</w:t>
      </w:r>
      <w:r>
        <w:rPr>
          <w:rFonts w:hint="eastAsia" w:ascii="黑体" w:eastAsia="黑体" w:cs="宋体"/>
          <w:color w:val="000000"/>
          <w:kern w:val="0"/>
          <w:sz w:val="32"/>
          <w:szCs w:val="32"/>
        </w:rPr>
        <w:br w:type="textWrapping"/>
      </w:r>
      <w:r>
        <w:rPr>
          <w:rFonts w:hint="eastAsia" w:ascii="宋体" w:hAnsi="宋体" w:eastAsia="仿宋_GB2312" w:cs="宋体"/>
          <w:color w:val="000000"/>
          <w:kern w:val="0"/>
          <w:sz w:val="32"/>
          <w:szCs w:val="32"/>
        </w:rPr>
        <w:t>   </w:t>
      </w: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lang w:eastAsia="zh-CN"/>
        </w:rPr>
        <w:t>广阳区人民代表大会常务委员会</w:t>
      </w:r>
      <w:r>
        <w:rPr>
          <w:rFonts w:ascii="Times New Roman" w:hAnsi="Times New Roman" w:eastAsia="仿宋_GB2312" w:cs="Times New Roman"/>
          <w:sz w:val="32"/>
          <w:szCs w:val="32"/>
        </w:rPr>
        <w:t>（含所属单位）</w:t>
      </w:r>
      <w:r>
        <w:rPr>
          <w:rFonts w:hint="eastAsia" w:ascii="仿宋_GB2312" w:eastAsia="仿宋_GB2312" w:cs="宋体"/>
          <w:color w:val="000000"/>
          <w:kern w:val="0"/>
          <w:sz w:val="32"/>
          <w:szCs w:val="32"/>
        </w:rPr>
        <w:t>上年末固定资产金额为181.60万元，本年度无拟购置固定资产</w:t>
      </w:r>
      <w:r>
        <w:rPr>
          <w:rFonts w:ascii="仿宋_GB2312" w:eastAsia="仿宋_GB2312" w:cs="宋体"/>
          <w:color w:val="000000"/>
          <w:kern w:val="0"/>
          <w:sz w:val="32"/>
          <w:szCs w:val="32"/>
        </w:rPr>
        <w:t>，</w:t>
      </w:r>
      <w:r>
        <w:rPr>
          <w:rFonts w:hint="eastAsia" w:ascii="仿宋_GB2312" w:eastAsia="仿宋_GB2312" w:cs="宋体"/>
          <w:color w:val="000000"/>
          <w:kern w:val="0"/>
          <w:sz w:val="32"/>
          <w:szCs w:val="32"/>
        </w:rPr>
        <w:t>详见下表。</w:t>
      </w:r>
    </w:p>
    <w:tbl>
      <w:tblPr>
        <w:tblStyle w:val="4"/>
        <w:tblW w:w="10385"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020"/>
        <w:gridCol w:w="2580"/>
        <w:gridCol w:w="37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5" w:hRule="atLeast"/>
          <w:tblCellSpacing w:w="0" w:type="dxa"/>
          <w:jc w:val="center"/>
        </w:trPr>
        <w:tc>
          <w:tcPr>
            <w:tcW w:w="10385" w:type="dxa"/>
            <w:gridSpan w:val="3"/>
            <w:vAlign w:val="center"/>
          </w:tcPr>
          <w:p>
            <w:pPr>
              <w:widowControl/>
              <w:jc w:val="center"/>
              <w:rPr>
                <w:rFonts w:hint="eastAsia" w:ascii="仿宋_GB2312" w:eastAsia="仿宋_GB2312" w:cs="宋体"/>
                <w:kern w:val="0"/>
                <w:sz w:val="28"/>
                <w:szCs w:val="28"/>
              </w:rPr>
            </w:pPr>
            <w:r>
              <w:rPr>
                <w:rFonts w:hint="eastAsia" w:ascii="仿宋_GB2312" w:eastAsia="仿宋_GB2312" w:cs="宋体"/>
                <w:b/>
                <w:bCs/>
                <w:kern w:val="0"/>
                <w:sz w:val="28"/>
                <w:szCs w:val="28"/>
              </w:rPr>
              <w:t>廊坊市广阳区预算部门固定资产占用情况表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blCellSpacing w:w="0" w:type="dxa"/>
          <w:jc w:val="center"/>
        </w:trPr>
        <w:tc>
          <w:tcPr>
            <w:tcW w:w="6600" w:type="dxa"/>
            <w:gridSpan w:val="2"/>
            <w:vAlign w:val="center"/>
          </w:tcPr>
          <w:p>
            <w:pPr>
              <w:widowControl/>
              <w:jc w:val="left"/>
              <w:rPr>
                <w:rFonts w:hint="eastAsia" w:ascii="仿宋_GB2312" w:eastAsia="仿宋_GB2312" w:cs="宋体"/>
                <w:kern w:val="0"/>
                <w:sz w:val="28"/>
                <w:szCs w:val="28"/>
              </w:rPr>
            </w:pPr>
            <w:r>
              <w:rPr>
                <w:rFonts w:hint="eastAsia" w:ascii="仿宋_GB2312" w:eastAsia="仿宋_GB2312" w:cs="宋体"/>
                <w:kern w:val="0"/>
                <w:sz w:val="28"/>
                <w:szCs w:val="28"/>
              </w:rPr>
              <w:t>编制部门：</w:t>
            </w:r>
            <w:r>
              <w:rPr>
                <w:rFonts w:hint="eastAsia" w:ascii="仿宋_GB2312" w:eastAsia="仿宋_GB2312" w:cs="宋体"/>
                <w:kern w:val="0"/>
                <w:sz w:val="28"/>
                <w:szCs w:val="28"/>
                <w:lang w:val="en-US" w:eastAsia="zh-CN"/>
              </w:rPr>
              <w:t>101</w:t>
            </w:r>
            <w:r>
              <w:rPr>
                <w:rFonts w:hint="eastAsia" w:ascii="仿宋_GB2312" w:eastAsia="仿宋_GB2312" w:cs="宋体"/>
                <w:b/>
                <w:bCs/>
                <w:kern w:val="0"/>
                <w:sz w:val="28"/>
                <w:szCs w:val="28"/>
              </w:rPr>
              <w:t>廊坊市广阳区人民代表大会常务委员会</w:t>
            </w:r>
          </w:p>
        </w:tc>
        <w:tc>
          <w:tcPr>
            <w:tcW w:w="3785" w:type="dxa"/>
            <w:vAlign w:val="center"/>
          </w:tcPr>
          <w:p>
            <w:pPr>
              <w:widowControl/>
              <w:jc w:val="left"/>
              <w:rPr>
                <w:rFonts w:ascii="宋体" w:hAnsi="宋体" w:eastAsia="仿宋_GB2312" w:cs="宋体"/>
                <w:kern w:val="0"/>
                <w:sz w:val="28"/>
                <w:szCs w:val="28"/>
              </w:rPr>
            </w:pPr>
            <w:r>
              <w:rPr>
                <w:rFonts w:hint="eastAsia" w:ascii="仿宋_GB2312" w:eastAsia="仿宋_GB2312" w:cs="宋体"/>
                <w:kern w:val="0"/>
                <w:sz w:val="28"/>
                <w:szCs w:val="28"/>
              </w:rPr>
              <w:t>截止时间：201</w:t>
            </w:r>
            <w:r>
              <w:rPr>
                <w:rFonts w:ascii="仿宋_GB2312" w:eastAsia="仿宋_GB2312" w:cs="宋体"/>
                <w:kern w:val="0"/>
                <w:sz w:val="28"/>
                <w:szCs w:val="28"/>
              </w:rPr>
              <w:t>7</w:t>
            </w:r>
            <w:r>
              <w:rPr>
                <w:rFonts w:hint="eastAsia" w:ascii="仿宋_GB2312" w:eastAsia="仿宋_GB2312" w:cs="宋体"/>
                <w:kern w:val="0"/>
                <w:sz w:val="28"/>
                <w:szCs w:val="28"/>
              </w:rPr>
              <w:t>年12月31日</w:t>
            </w:r>
            <w:r>
              <w:rPr>
                <w:rFonts w:ascii="宋体" w:hAnsi="宋体" w:eastAsia="仿宋_GB2312" w:cs="宋体"/>
                <w:kern w:val="0"/>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tblCellSpacing w:w="0" w:type="dxa"/>
          <w:jc w:val="center"/>
        </w:trPr>
        <w:tc>
          <w:tcPr>
            <w:tcW w:w="402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s="宋体"/>
                <w:kern w:val="0"/>
                <w:sz w:val="28"/>
                <w:szCs w:val="28"/>
              </w:rPr>
            </w:pPr>
            <w:r>
              <w:rPr>
                <w:rFonts w:hint="eastAsia" w:ascii="仿宋_GB2312" w:eastAsia="仿宋_GB2312" w:cs="宋体"/>
                <w:b/>
                <w:bCs/>
                <w:kern w:val="0"/>
                <w:sz w:val="28"/>
                <w:szCs w:val="28"/>
              </w:rPr>
              <w:t>项</w:t>
            </w:r>
            <w:r>
              <w:rPr>
                <w:rFonts w:ascii="宋体" w:hAnsi="宋体" w:eastAsia="仿宋_GB2312" w:cs="宋体"/>
                <w:b/>
                <w:bCs/>
                <w:kern w:val="0"/>
                <w:sz w:val="28"/>
                <w:szCs w:val="28"/>
              </w:rPr>
              <w:t xml:space="preserve">   </w:t>
            </w:r>
            <w:r>
              <w:rPr>
                <w:rFonts w:hint="eastAsia" w:ascii="仿宋_GB2312" w:eastAsia="仿宋_GB2312" w:cs="宋体"/>
                <w:b/>
                <w:bCs/>
                <w:kern w:val="0"/>
                <w:sz w:val="28"/>
                <w:szCs w:val="28"/>
              </w:rPr>
              <w:t>目</w:t>
            </w:r>
          </w:p>
        </w:tc>
        <w:tc>
          <w:tcPr>
            <w:tcW w:w="258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s="宋体"/>
                <w:kern w:val="0"/>
                <w:sz w:val="28"/>
                <w:szCs w:val="28"/>
              </w:rPr>
            </w:pPr>
            <w:r>
              <w:rPr>
                <w:rFonts w:hint="eastAsia" w:ascii="仿宋_GB2312" w:eastAsia="仿宋_GB2312" w:cs="宋体"/>
                <w:b/>
                <w:bCs/>
                <w:kern w:val="0"/>
                <w:sz w:val="28"/>
                <w:szCs w:val="28"/>
              </w:rPr>
              <w:t>数量</w:t>
            </w:r>
          </w:p>
        </w:tc>
        <w:tc>
          <w:tcPr>
            <w:tcW w:w="378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s="宋体"/>
                <w:kern w:val="0"/>
                <w:sz w:val="28"/>
                <w:szCs w:val="28"/>
              </w:rPr>
            </w:pPr>
            <w:r>
              <w:rPr>
                <w:rFonts w:hint="eastAsia" w:ascii="仿宋_GB2312" w:eastAsia="仿宋_GB2312" w:cs="宋体"/>
                <w:b/>
                <w:bCs/>
                <w:kern w:val="0"/>
                <w:sz w:val="28"/>
                <w:szCs w:val="28"/>
              </w:rPr>
              <w:t>价值（金额单位：万元）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tblCellSpacing w:w="0" w:type="dxa"/>
          <w:jc w:val="center"/>
        </w:trPr>
        <w:tc>
          <w:tcPr>
            <w:tcW w:w="40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宋体"/>
                <w:kern w:val="0"/>
                <w:sz w:val="28"/>
                <w:szCs w:val="28"/>
              </w:rPr>
            </w:pPr>
            <w:r>
              <w:rPr>
                <w:rFonts w:hint="eastAsia" w:ascii="仿宋_GB2312" w:eastAsia="仿宋_GB2312" w:cs="宋体"/>
                <w:kern w:val="0"/>
                <w:sz w:val="28"/>
                <w:szCs w:val="28"/>
              </w:rPr>
              <w:t>资产总额</w:t>
            </w:r>
          </w:p>
        </w:tc>
        <w:tc>
          <w:tcPr>
            <w:tcW w:w="258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宋体"/>
                <w:kern w:val="0"/>
                <w:sz w:val="28"/>
                <w:szCs w:val="28"/>
              </w:rPr>
            </w:pPr>
            <w:r>
              <w:rPr>
                <w:rFonts w:hint="eastAsia" w:ascii="仿宋_GB2312" w:eastAsia="仿宋_GB2312" w:cs="宋体"/>
                <w:kern w:val="0"/>
                <w:sz w:val="28"/>
                <w:szCs w:val="28"/>
              </w:rPr>
              <w:t>——</w:t>
            </w:r>
          </w:p>
        </w:tc>
        <w:tc>
          <w:tcPr>
            <w:tcW w:w="378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宋体"/>
                <w:kern w:val="0"/>
                <w:sz w:val="28"/>
                <w:szCs w:val="28"/>
              </w:rPr>
            </w:pPr>
            <w:r>
              <w:rPr>
                <w:rFonts w:hint="eastAsia" w:ascii="仿宋_GB2312" w:eastAsia="仿宋_GB2312" w:cs="宋体"/>
                <w:kern w:val="0"/>
                <w:sz w:val="28"/>
                <w:szCs w:val="28"/>
              </w:rPr>
              <w:t>181.60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tblCellSpacing w:w="0" w:type="dxa"/>
          <w:jc w:val="center"/>
        </w:trPr>
        <w:tc>
          <w:tcPr>
            <w:tcW w:w="40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宋体"/>
                <w:kern w:val="0"/>
                <w:sz w:val="28"/>
                <w:szCs w:val="28"/>
              </w:rPr>
            </w:pPr>
            <w:r>
              <w:rPr>
                <w:rFonts w:hint="eastAsia" w:ascii="仿宋_GB2312" w:eastAsia="仿宋_GB2312" w:cs="宋体"/>
                <w:kern w:val="0"/>
                <w:sz w:val="28"/>
                <w:szCs w:val="28"/>
              </w:rPr>
              <w:t>1、房屋（平方米）</w:t>
            </w:r>
          </w:p>
        </w:tc>
        <w:tc>
          <w:tcPr>
            <w:tcW w:w="258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宋体"/>
                <w:kern w:val="0"/>
                <w:sz w:val="28"/>
                <w:szCs w:val="28"/>
              </w:rPr>
            </w:pPr>
            <w:r>
              <w:rPr>
                <w:rFonts w:hint="eastAsia" w:ascii="仿宋_GB2312" w:eastAsia="仿宋_GB2312" w:cs="宋体"/>
                <w:kern w:val="0"/>
                <w:sz w:val="28"/>
                <w:szCs w:val="28"/>
              </w:rPr>
              <w:t>0</w:t>
            </w:r>
          </w:p>
        </w:tc>
        <w:tc>
          <w:tcPr>
            <w:tcW w:w="378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宋体"/>
                <w:kern w:val="0"/>
                <w:sz w:val="28"/>
                <w:szCs w:val="28"/>
              </w:rPr>
            </w:pPr>
            <w:r>
              <w:rPr>
                <w:rFonts w:hint="eastAsia" w:ascii="仿宋_GB2312" w:eastAsia="仿宋_GB2312" w:cs="宋体"/>
                <w:kern w:val="0"/>
                <w:sz w:val="28"/>
                <w:szCs w:val="28"/>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tblCellSpacing w:w="0" w:type="dxa"/>
          <w:jc w:val="center"/>
        </w:trPr>
        <w:tc>
          <w:tcPr>
            <w:tcW w:w="40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宋体"/>
                <w:kern w:val="0"/>
                <w:sz w:val="28"/>
                <w:szCs w:val="28"/>
              </w:rPr>
            </w:pPr>
            <w:r>
              <w:rPr>
                <w:rFonts w:ascii="宋体" w:hAnsi="宋体" w:eastAsia="仿宋_GB2312" w:cs="宋体"/>
                <w:kern w:val="0"/>
                <w:sz w:val="28"/>
                <w:szCs w:val="28"/>
              </w:rPr>
              <w:t xml:space="preserve">   </w:t>
            </w:r>
            <w:r>
              <w:rPr>
                <w:rFonts w:hint="eastAsia" w:ascii="仿宋_GB2312" w:eastAsia="仿宋_GB2312" w:cs="宋体"/>
                <w:kern w:val="0"/>
                <w:sz w:val="28"/>
                <w:szCs w:val="28"/>
              </w:rPr>
              <w:t>其中：办公用房（平方米）</w:t>
            </w:r>
          </w:p>
        </w:tc>
        <w:tc>
          <w:tcPr>
            <w:tcW w:w="258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宋体"/>
                <w:kern w:val="0"/>
                <w:sz w:val="28"/>
                <w:szCs w:val="28"/>
              </w:rPr>
            </w:pPr>
            <w:r>
              <w:rPr>
                <w:rFonts w:hint="eastAsia" w:ascii="仿宋_GB2312" w:eastAsia="仿宋_GB2312" w:cs="宋体"/>
                <w:kern w:val="0"/>
                <w:sz w:val="28"/>
                <w:szCs w:val="28"/>
              </w:rPr>
              <w:t>0</w:t>
            </w:r>
          </w:p>
        </w:tc>
        <w:tc>
          <w:tcPr>
            <w:tcW w:w="378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宋体"/>
                <w:kern w:val="0"/>
                <w:sz w:val="28"/>
                <w:szCs w:val="28"/>
              </w:rPr>
            </w:pPr>
            <w:r>
              <w:rPr>
                <w:rFonts w:hint="eastAsia" w:ascii="仿宋_GB2312" w:eastAsia="仿宋_GB2312" w:cs="宋体"/>
                <w:kern w:val="0"/>
                <w:sz w:val="28"/>
                <w:szCs w:val="28"/>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tblCellSpacing w:w="0" w:type="dxa"/>
          <w:jc w:val="center"/>
        </w:trPr>
        <w:tc>
          <w:tcPr>
            <w:tcW w:w="40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宋体"/>
                <w:kern w:val="0"/>
                <w:sz w:val="28"/>
                <w:szCs w:val="28"/>
              </w:rPr>
            </w:pPr>
            <w:r>
              <w:rPr>
                <w:rFonts w:hint="eastAsia" w:ascii="仿宋_GB2312" w:eastAsia="仿宋_GB2312" w:cs="宋体"/>
                <w:kern w:val="0"/>
                <w:sz w:val="28"/>
                <w:szCs w:val="28"/>
              </w:rPr>
              <w:t>2、车辆（台、辆）</w:t>
            </w:r>
          </w:p>
        </w:tc>
        <w:tc>
          <w:tcPr>
            <w:tcW w:w="258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宋体"/>
                <w:kern w:val="0"/>
                <w:sz w:val="28"/>
                <w:szCs w:val="28"/>
              </w:rPr>
            </w:pPr>
            <w:r>
              <w:rPr>
                <w:rFonts w:hint="eastAsia" w:ascii="仿宋_GB2312" w:eastAsia="仿宋_GB2312" w:cs="宋体"/>
                <w:kern w:val="0"/>
                <w:sz w:val="28"/>
                <w:szCs w:val="28"/>
              </w:rPr>
              <w:t>6</w:t>
            </w:r>
          </w:p>
        </w:tc>
        <w:tc>
          <w:tcPr>
            <w:tcW w:w="378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宋体"/>
                <w:kern w:val="0"/>
                <w:sz w:val="28"/>
                <w:szCs w:val="28"/>
              </w:rPr>
            </w:pPr>
            <w:r>
              <w:rPr>
                <w:rFonts w:hint="eastAsia" w:ascii="仿宋_GB2312" w:eastAsia="仿宋_GB2312" w:cs="宋体"/>
                <w:kern w:val="0"/>
                <w:sz w:val="28"/>
                <w:szCs w:val="28"/>
              </w:rPr>
              <w:t>64.42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tblCellSpacing w:w="0" w:type="dxa"/>
          <w:jc w:val="center"/>
        </w:trPr>
        <w:tc>
          <w:tcPr>
            <w:tcW w:w="40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宋体"/>
                <w:kern w:val="0"/>
                <w:sz w:val="28"/>
                <w:szCs w:val="28"/>
              </w:rPr>
            </w:pPr>
            <w:r>
              <w:rPr>
                <w:rFonts w:hint="eastAsia" w:ascii="仿宋_GB2312" w:eastAsia="仿宋_GB2312" w:cs="宋体"/>
                <w:kern w:val="0"/>
                <w:sz w:val="28"/>
                <w:szCs w:val="28"/>
              </w:rPr>
              <w:t>3、单价在50万元以上的设备</w:t>
            </w:r>
          </w:p>
        </w:tc>
        <w:tc>
          <w:tcPr>
            <w:tcW w:w="258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宋体"/>
                <w:kern w:val="0"/>
                <w:sz w:val="28"/>
                <w:szCs w:val="28"/>
              </w:rPr>
            </w:pPr>
            <w:r>
              <w:rPr>
                <w:rFonts w:hint="eastAsia" w:ascii="仿宋_GB2312" w:eastAsia="仿宋_GB2312" w:cs="宋体"/>
                <w:kern w:val="0"/>
                <w:sz w:val="28"/>
                <w:szCs w:val="28"/>
              </w:rPr>
              <w:t>0</w:t>
            </w:r>
          </w:p>
        </w:tc>
        <w:tc>
          <w:tcPr>
            <w:tcW w:w="378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宋体"/>
                <w:kern w:val="0"/>
                <w:sz w:val="28"/>
                <w:szCs w:val="28"/>
              </w:rPr>
            </w:pPr>
            <w:r>
              <w:rPr>
                <w:rFonts w:hint="eastAsia" w:ascii="仿宋_GB2312" w:eastAsia="仿宋_GB2312" w:cs="宋体"/>
                <w:kern w:val="0"/>
                <w:sz w:val="28"/>
                <w:szCs w:val="28"/>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tblCellSpacing w:w="0" w:type="dxa"/>
          <w:jc w:val="center"/>
        </w:trPr>
        <w:tc>
          <w:tcPr>
            <w:tcW w:w="40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宋体"/>
                <w:kern w:val="0"/>
                <w:sz w:val="28"/>
                <w:szCs w:val="28"/>
              </w:rPr>
            </w:pPr>
            <w:r>
              <w:rPr>
                <w:rFonts w:hint="eastAsia" w:ascii="仿宋_GB2312" w:eastAsia="仿宋_GB2312" w:cs="宋体"/>
                <w:kern w:val="0"/>
                <w:sz w:val="28"/>
                <w:szCs w:val="28"/>
              </w:rPr>
              <w:t>4、其他固定资产</w:t>
            </w:r>
          </w:p>
        </w:tc>
        <w:tc>
          <w:tcPr>
            <w:tcW w:w="25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仿宋_GB2312" w:cs="宋体"/>
                <w:kern w:val="0"/>
                <w:sz w:val="28"/>
                <w:szCs w:val="28"/>
              </w:rPr>
            </w:pPr>
            <w:r>
              <w:rPr>
                <w:rFonts w:ascii="宋体" w:hAnsi="宋体" w:eastAsia="仿宋_GB2312" w:cs="宋体"/>
                <w:kern w:val="0"/>
                <w:sz w:val="28"/>
                <w:szCs w:val="28"/>
              </w:rPr>
              <w:t> </w:t>
            </w:r>
          </w:p>
        </w:tc>
        <w:tc>
          <w:tcPr>
            <w:tcW w:w="378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宋体"/>
                <w:kern w:val="0"/>
                <w:sz w:val="28"/>
                <w:szCs w:val="28"/>
              </w:rPr>
            </w:pPr>
            <w:r>
              <w:rPr>
                <w:rFonts w:hint="eastAsia" w:ascii="仿宋_GB2312" w:eastAsia="仿宋_GB2312" w:cs="宋体"/>
                <w:kern w:val="0"/>
                <w:sz w:val="28"/>
                <w:szCs w:val="28"/>
              </w:rPr>
              <w:t>117.18</w:t>
            </w:r>
          </w:p>
        </w:tc>
      </w:tr>
    </w:tbl>
    <w:p>
      <w:pPr>
        <w:pStyle w:val="7"/>
        <w:spacing w:line="570" w:lineRule="exact"/>
        <w:rPr>
          <w:rFonts w:ascii="仿宋_GB2312" w:eastAsia="仿宋_GB2312"/>
          <w:b/>
          <w:bCs/>
          <w:sz w:val="32"/>
          <w:szCs w:val="32"/>
        </w:rPr>
      </w:pPr>
      <w:r>
        <w:rPr>
          <w:rFonts w:ascii="黑体" w:eastAsia="黑体" w:cs="宋体"/>
          <w:b/>
          <w:bCs/>
          <w:sz w:val="32"/>
          <w:szCs w:val="32"/>
        </w:rPr>
        <w:br w:type="page"/>
      </w:r>
      <w:r>
        <w:rPr>
          <w:rFonts w:hint="eastAsia" w:ascii="黑体" w:eastAsia="黑体" w:cs="宋体"/>
          <w:b/>
          <w:bCs/>
          <w:sz w:val="32"/>
          <w:szCs w:val="32"/>
        </w:rPr>
        <w:t>八、名词解释</w:t>
      </w:r>
      <w:r>
        <w:rPr>
          <w:rFonts w:hint="eastAsia" w:ascii="黑体" w:eastAsia="黑体" w:cs="宋体"/>
          <w:sz w:val="32"/>
          <w:szCs w:val="32"/>
        </w:rPr>
        <w:br w:type="textWrapping"/>
      </w:r>
      <w:r>
        <w:rPr>
          <w:rFonts w:hint="eastAsia"/>
          <w:b/>
          <w:bCs/>
          <w:sz w:val="32"/>
          <w:szCs w:val="32"/>
        </w:rPr>
        <w:t xml:space="preserve"> </w:t>
      </w:r>
      <w:r>
        <w:rPr>
          <w:b/>
          <w:bCs/>
          <w:sz w:val="32"/>
          <w:szCs w:val="32"/>
        </w:rPr>
        <w:t xml:space="preserve">   </w:t>
      </w:r>
      <w:r>
        <w:rPr>
          <w:rFonts w:hint="eastAsia" w:ascii="仿宋_GB2312" w:eastAsia="仿宋_GB2312"/>
          <w:b/>
          <w:bCs/>
          <w:sz w:val="32"/>
          <w:szCs w:val="32"/>
        </w:rPr>
        <w:t>1</w:t>
      </w:r>
      <w:r>
        <w:rPr>
          <w:rFonts w:hint="eastAsia" w:ascii="仿宋_GB2312" w:eastAsia="仿宋_GB2312" w:cs="FZFangSong-Z02"/>
          <w:sz w:val="32"/>
          <w:szCs w:val="32"/>
        </w:rPr>
        <w:t>、一般公共预算拨款收入：指市级财政当年拨付的资金。</w:t>
      </w:r>
    </w:p>
    <w:p>
      <w:pPr>
        <w:pStyle w:val="7"/>
        <w:spacing w:line="570" w:lineRule="exact"/>
        <w:rPr>
          <w:rFonts w:ascii="仿宋_GB2312" w:eastAsia="仿宋_GB2312" w:cs="FZFangSong-Z02"/>
          <w:sz w:val="32"/>
          <w:szCs w:val="32"/>
        </w:rPr>
      </w:pPr>
      <w:r>
        <w:rPr>
          <w:rFonts w:hint="eastAsia" w:ascii="仿宋_GB2312" w:eastAsia="仿宋_GB2312"/>
          <w:b/>
          <w:bCs/>
          <w:sz w:val="32"/>
          <w:szCs w:val="32"/>
        </w:rPr>
        <w:t xml:space="preserve">    2</w:t>
      </w:r>
      <w:r>
        <w:rPr>
          <w:rFonts w:hint="eastAsia" w:ascii="仿宋_GB2312" w:eastAsia="仿宋_GB2312" w:cs="FZFangSong-Z02"/>
          <w:sz w:val="32"/>
          <w:szCs w:val="32"/>
        </w:rPr>
        <w:t>、事业收入：指事业单位开展专业业务活动及辅助活动所取得的收入。</w:t>
      </w:r>
    </w:p>
    <w:p>
      <w:pPr>
        <w:pStyle w:val="7"/>
        <w:spacing w:line="570" w:lineRule="exact"/>
        <w:rPr>
          <w:rFonts w:ascii="仿宋_GB2312" w:eastAsia="仿宋_GB2312" w:cs="FZFangSong-Z02"/>
          <w:sz w:val="32"/>
          <w:szCs w:val="32"/>
        </w:rPr>
      </w:pPr>
      <w:r>
        <w:rPr>
          <w:rFonts w:hint="eastAsia" w:ascii="仿宋_GB2312" w:eastAsia="仿宋_GB2312"/>
          <w:b/>
          <w:bCs/>
          <w:sz w:val="32"/>
          <w:szCs w:val="32"/>
        </w:rPr>
        <w:t xml:space="preserve">    3</w:t>
      </w:r>
      <w:r>
        <w:rPr>
          <w:rFonts w:hint="eastAsia" w:ascii="仿宋_GB2312" w:eastAsia="仿宋_GB2312" w:cs="FZFangSong-Z02"/>
          <w:sz w:val="32"/>
          <w:szCs w:val="32"/>
        </w:rPr>
        <w:t>、其他收入：指除上述</w:t>
      </w:r>
      <w:r>
        <w:rPr>
          <w:rFonts w:hint="eastAsia" w:ascii="仿宋_GB2312" w:eastAsia="仿宋_GB2312"/>
          <w:sz w:val="32"/>
          <w:szCs w:val="32"/>
        </w:rPr>
        <w:t>“</w:t>
      </w:r>
      <w:r>
        <w:rPr>
          <w:rFonts w:hint="eastAsia" w:ascii="仿宋_GB2312" w:eastAsia="仿宋_GB2312" w:cs="FZFangSong-Z02"/>
          <w:sz w:val="32"/>
          <w:szCs w:val="32"/>
        </w:rPr>
        <w:t>财政拨款收入</w:t>
      </w:r>
      <w:r>
        <w:rPr>
          <w:rFonts w:hint="eastAsia" w:ascii="仿宋_GB2312" w:eastAsia="仿宋_GB2312"/>
          <w:sz w:val="32"/>
          <w:szCs w:val="32"/>
        </w:rPr>
        <w:t>”</w:t>
      </w:r>
      <w:r>
        <w:rPr>
          <w:rFonts w:hint="eastAsia" w:ascii="仿宋_GB2312" w:eastAsia="仿宋_GB2312" w:cs="FZFangSong-Z02"/>
          <w:sz w:val="32"/>
          <w:szCs w:val="32"/>
        </w:rPr>
        <w:t>、</w:t>
      </w:r>
      <w:r>
        <w:rPr>
          <w:rFonts w:hint="eastAsia" w:ascii="仿宋_GB2312" w:eastAsia="仿宋_GB2312"/>
          <w:sz w:val="32"/>
          <w:szCs w:val="32"/>
        </w:rPr>
        <w:t>“</w:t>
      </w:r>
      <w:r>
        <w:rPr>
          <w:rFonts w:hint="eastAsia" w:ascii="仿宋_GB2312" w:eastAsia="仿宋_GB2312" w:cs="FZFangSong-Z02"/>
          <w:sz w:val="32"/>
          <w:szCs w:val="32"/>
        </w:rPr>
        <w:t>事业收入</w:t>
      </w:r>
      <w:r>
        <w:rPr>
          <w:rFonts w:hint="eastAsia" w:ascii="仿宋_GB2312" w:eastAsia="仿宋_GB2312"/>
          <w:sz w:val="32"/>
          <w:szCs w:val="32"/>
        </w:rPr>
        <w:t>”</w:t>
      </w:r>
      <w:r>
        <w:rPr>
          <w:rFonts w:hint="eastAsia" w:ascii="仿宋_GB2312" w:eastAsia="仿宋_GB2312" w:cs="FZFangSong-Z02"/>
          <w:sz w:val="32"/>
          <w:szCs w:val="32"/>
        </w:rPr>
        <w:t>等以外的收入。主要是按规定动用的租房收入、存款利息收入等。</w:t>
      </w:r>
    </w:p>
    <w:p>
      <w:pPr>
        <w:pStyle w:val="7"/>
        <w:spacing w:line="570" w:lineRule="exact"/>
        <w:rPr>
          <w:rFonts w:ascii="仿宋_GB2312" w:eastAsia="仿宋_GB2312" w:cs="FZFangSong-Z02"/>
          <w:sz w:val="32"/>
          <w:szCs w:val="32"/>
        </w:rPr>
      </w:pPr>
      <w:r>
        <w:rPr>
          <w:rFonts w:hint="eastAsia" w:ascii="仿宋_GB2312" w:eastAsia="仿宋_GB2312"/>
          <w:b/>
          <w:bCs/>
          <w:sz w:val="32"/>
          <w:szCs w:val="32"/>
        </w:rPr>
        <w:t xml:space="preserve">    4</w:t>
      </w:r>
      <w:r>
        <w:rPr>
          <w:rFonts w:hint="eastAsia" w:ascii="仿宋_GB2312" w:eastAsia="仿宋_GB2312" w:cs="FZFangSong-Z02"/>
          <w:sz w:val="32"/>
          <w:szCs w:val="32"/>
        </w:rPr>
        <w:t>、基本支出：</w:t>
      </w:r>
      <w:r>
        <w:rPr>
          <w:rFonts w:hint="eastAsia" w:ascii="仿宋_GB2312" w:eastAsia="仿宋_GB2312"/>
          <w:sz w:val="32"/>
          <w:szCs w:val="32"/>
        </w:rPr>
        <w:t>指为保障机构正常运转、完成日常工作任务而发生的人员支出和公用支出。</w:t>
      </w:r>
    </w:p>
    <w:p>
      <w:pPr>
        <w:spacing w:line="570" w:lineRule="exact"/>
        <w:rPr>
          <w:rFonts w:hint="eastAsia" w:ascii="仿宋_GB2312" w:eastAsia="仿宋_GB2312"/>
          <w:sz w:val="32"/>
          <w:szCs w:val="32"/>
        </w:rPr>
      </w:pPr>
      <w:r>
        <w:rPr>
          <w:rFonts w:hint="eastAsia" w:ascii="仿宋_GB2312" w:eastAsia="仿宋_GB2312"/>
          <w:b/>
          <w:bCs/>
          <w:sz w:val="32"/>
          <w:szCs w:val="32"/>
        </w:rPr>
        <w:t xml:space="preserve">    5</w:t>
      </w:r>
      <w:r>
        <w:rPr>
          <w:rFonts w:hint="eastAsia" w:ascii="仿宋_GB2312" w:eastAsia="仿宋_GB2312" w:cs="FZFangSong-Z02"/>
          <w:sz w:val="32"/>
          <w:szCs w:val="32"/>
        </w:rPr>
        <w:t>、项目支出：</w:t>
      </w:r>
      <w:r>
        <w:rPr>
          <w:rFonts w:hint="eastAsia" w:ascii="仿宋_GB2312" w:eastAsia="仿宋_GB2312"/>
          <w:sz w:val="32"/>
          <w:szCs w:val="32"/>
        </w:rPr>
        <w:t>指在基本支出之外为完成特定行政任务和事业发展目标所发生的支出。</w:t>
      </w:r>
    </w:p>
    <w:p>
      <w:pPr>
        <w:pStyle w:val="7"/>
        <w:spacing w:line="570" w:lineRule="exact"/>
        <w:rPr>
          <w:rFonts w:ascii="仿宋_GB2312" w:eastAsia="仿宋_GB2312"/>
          <w:sz w:val="32"/>
          <w:szCs w:val="32"/>
        </w:rPr>
      </w:pPr>
      <w:r>
        <w:rPr>
          <w:rFonts w:hint="eastAsia" w:ascii="仿宋_GB2312" w:eastAsia="仿宋_GB2312"/>
          <w:b/>
          <w:bCs/>
          <w:sz w:val="32"/>
          <w:szCs w:val="32"/>
        </w:rPr>
        <w:t xml:space="preserve">    6</w:t>
      </w:r>
      <w:r>
        <w:rPr>
          <w:rFonts w:hint="eastAsia" w:ascii="仿宋_GB2312" w:eastAsia="仿宋_GB2312" w:cs="FZFangSong-Z02"/>
          <w:sz w:val="32"/>
          <w:szCs w:val="32"/>
        </w:rPr>
        <w:t>、上缴上级支出：</w:t>
      </w:r>
      <w:r>
        <w:rPr>
          <w:rFonts w:hint="eastAsia" w:ascii="仿宋_GB2312" w:eastAsia="仿宋_GB2312"/>
          <w:sz w:val="32"/>
          <w:szCs w:val="32"/>
        </w:rPr>
        <w:t>指下级单位上缴上级的支出。</w:t>
      </w:r>
    </w:p>
    <w:p>
      <w:pPr>
        <w:pStyle w:val="7"/>
        <w:spacing w:line="570" w:lineRule="exact"/>
        <w:rPr>
          <w:rFonts w:ascii="仿宋_GB2312" w:eastAsia="仿宋_GB2312" w:cs="FZFangSong-Z02"/>
          <w:sz w:val="32"/>
          <w:szCs w:val="32"/>
        </w:rPr>
      </w:pPr>
      <w:r>
        <w:rPr>
          <w:rFonts w:hint="eastAsia" w:ascii="仿宋_GB2312" w:eastAsia="仿宋_GB2312"/>
          <w:b/>
          <w:bCs/>
          <w:sz w:val="32"/>
          <w:szCs w:val="32"/>
        </w:rPr>
        <w:t xml:space="preserve">    7</w:t>
      </w:r>
      <w:r>
        <w:rPr>
          <w:rFonts w:hint="eastAsia" w:ascii="仿宋_GB2312" w:eastAsia="仿宋_GB2312" w:cs="FZFangSong-Z02"/>
          <w:sz w:val="32"/>
          <w:szCs w:val="32"/>
        </w:rPr>
        <w:t>、</w:t>
      </w:r>
      <w:r>
        <w:rPr>
          <w:rFonts w:hint="eastAsia" w:ascii="仿宋_GB2312" w:eastAsia="仿宋_GB2312"/>
          <w:b/>
          <w:bCs/>
          <w:sz w:val="32"/>
          <w:szCs w:val="32"/>
        </w:rPr>
        <w:t>“</w:t>
      </w:r>
      <w:r>
        <w:rPr>
          <w:rFonts w:hint="eastAsia" w:ascii="仿宋_GB2312" w:eastAsia="仿宋_GB2312" w:cs="FZFangSong-Z02"/>
          <w:sz w:val="32"/>
          <w:szCs w:val="32"/>
        </w:rPr>
        <w:t>三公</w:t>
      </w:r>
      <w:r>
        <w:rPr>
          <w:rFonts w:hint="eastAsia" w:ascii="仿宋_GB2312" w:eastAsia="仿宋_GB2312"/>
          <w:b/>
          <w:bCs/>
          <w:sz w:val="32"/>
          <w:szCs w:val="32"/>
        </w:rPr>
        <w:t>”</w:t>
      </w:r>
      <w:r>
        <w:rPr>
          <w:rFonts w:hint="eastAsia" w:ascii="仿宋_GB2312" w:eastAsia="仿宋_GB2312" w:cs="FZFangSong-Z02"/>
          <w:sz w:val="32"/>
          <w:szCs w:val="32"/>
        </w:rPr>
        <w:t>经费：纳入市级财政预算管理的</w:t>
      </w:r>
      <w:r>
        <w:rPr>
          <w:rFonts w:hint="eastAsia" w:ascii="仿宋_GB2312" w:eastAsia="仿宋_GB2312"/>
          <w:sz w:val="32"/>
          <w:szCs w:val="32"/>
        </w:rPr>
        <w:t>“</w:t>
      </w:r>
      <w:r>
        <w:rPr>
          <w:rFonts w:hint="eastAsia" w:ascii="仿宋_GB2312" w:eastAsia="仿宋_GB2312" w:cs="FZFangSong-Z02"/>
          <w:sz w:val="32"/>
          <w:szCs w:val="32"/>
        </w:rPr>
        <w:t>三公</w:t>
      </w:r>
      <w:r>
        <w:rPr>
          <w:rFonts w:hint="eastAsia" w:ascii="仿宋_GB2312" w:eastAsia="仿宋_GB2312"/>
          <w:sz w:val="32"/>
          <w:szCs w:val="32"/>
        </w:rPr>
        <w:t>”</w:t>
      </w:r>
      <w:r>
        <w:rPr>
          <w:rFonts w:hint="eastAsia" w:ascii="仿宋_GB2312" w:eastAsia="仿宋_GB2312" w:cs="FZFangSong-Z02"/>
          <w:sz w:val="32"/>
          <w:szCs w:val="32"/>
        </w:rPr>
        <w:t>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570" w:lineRule="exact"/>
        <w:rPr>
          <w:rFonts w:hint="eastAsia" w:ascii="仿宋_GB2312" w:eastAsia="仿宋_GB2312" w:cs="FZFangSong-Z02"/>
          <w:sz w:val="32"/>
          <w:szCs w:val="32"/>
        </w:rPr>
      </w:pPr>
      <w:r>
        <w:rPr>
          <w:rFonts w:hint="eastAsia" w:ascii="仿宋_GB2312" w:eastAsia="仿宋_GB2312"/>
          <w:b/>
          <w:bCs/>
          <w:sz w:val="32"/>
          <w:szCs w:val="32"/>
        </w:rPr>
        <w:t xml:space="preserve">    8</w:t>
      </w:r>
      <w:r>
        <w:rPr>
          <w:rFonts w:hint="eastAsia" w:ascii="仿宋_GB2312" w:eastAsia="仿宋_GB2312" w:cs="FZFangSong-Z02"/>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w:t>
      </w:r>
      <w:r>
        <w:rPr>
          <w:rFonts w:hint="eastAsia" w:ascii="仿宋_GB2312" w:eastAsia="仿宋_GB2312"/>
          <w:sz w:val="32"/>
          <w:szCs w:val="32"/>
        </w:rPr>
        <w:t>其他费用。</w:t>
      </w:r>
    </w:p>
    <w:p>
      <w:pPr>
        <w:widowControl/>
        <w:spacing w:line="360" w:lineRule="atLeast"/>
        <w:jc w:val="left"/>
        <w:rPr>
          <w:rFonts w:hint="eastAsia" w:ascii="仿宋_GB2312" w:eastAsia="仿宋_GB2312" w:cs="宋体"/>
          <w:color w:val="000000"/>
          <w:kern w:val="0"/>
          <w:sz w:val="32"/>
          <w:szCs w:val="32"/>
        </w:rPr>
      </w:pPr>
      <w:r>
        <w:rPr>
          <w:rFonts w:hint="eastAsia" w:ascii="黑体" w:eastAsia="黑体" w:cs="宋体"/>
          <w:b/>
          <w:bCs/>
          <w:color w:val="000000"/>
          <w:kern w:val="0"/>
          <w:sz w:val="32"/>
          <w:szCs w:val="32"/>
        </w:rPr>
        <w:t>九、其</w:t>
      </w:r>
      <w:r>
        <w:rPr>
          <w:rFonts w:hint="eastAsia" w:ascii="黑体" w:eastAsia="黑体" w:cs="宋体"/>
          <w:b/>
          <w:bCs/>
          <w:color w:val="000000"/>
          <w:kern w:val="0"/>
          <w:sz w:val="32"/>
          <w:szCs w:val="32"/>
          <w:lang w:eastAsia="zh-CN"/>
        </w:rPr>
        <w:t>他</w:t>
      </w:r>
      <w:r>
        <w:rPr>
          <w:rFonts w:hint="eastAsia" w:ascii="黑体" w:eastAsia="黑体" w:cs="宋体"/>
          <w:b/>
          <w:bCs/>
          <w:color w:val="000000"/>
          <w:kern w:val="0"/>
          <w:sz w:val="32"/>
          <w:szCs w:val="32"/>
        </w:rPr>
        <w:t>需要说明的事项</w:t>
      </w:r>
      <w:r>
        <w:rPr>
          <w:rFonts w:hint="eastAsia" w:ascii="黑体" w:eastAsia="黑体" w:cs="宋体"/>
          <w:color w:val="000000"/>
          <w:kern w:val="0"/>
          <w:sz w:val="32"/>
          <w:szCs w:val="32"/>
        </w:rPr>
        <w:br w:type="textWrapping"/>
      </w:r>
      <w:r>
        <w:rPr>
          <w:rFonts w:hint="eastAsia" w:ascii="宋体" w:hAnsi="宋体" w:eastAsia="仿宋_GB2312" w:cs="宋体"/>
          <w:color w:val="000000"/>
          <w:kern w:val="0"/>
          <w:sz w:val="32"/>
          <w:szCs w:val="32"/>
        </w:rPr>
        <w:t> </w:t>
      </w:r>
      <w:r>
        <w:rPr>
          <w:rFonts w:hint="eastAsia" w:ascii="宋体" w:hAnsi="宋体" w:eastAsia="仿宋_GB2312" w:cs="宋体"/>
          <w:color w:val="000000"/>
          <w:kern w:val="0"/>
          <w:sz w:val="32"/>
          <w:szCs w:val="32"/>
          <w:lang w:val="en-US" w:eastAsia="zh-CN"/>
        </w:rPr>
        <w:t xml:space="preserve">  </w:t>
      </w:r>
      <w:r>
        <w:rPr>
          <w:rFonts w:hint="eastAsia" w:ascii="仿宋_GB2312" w:eastAsia="仿宋_GB2312" w:cs="宋体"/>
          <w:color w:val="000000"/>
          <w:kern w:val="0"/>
          <w:sz w:val="32"/>
          <w:szCs w:val="32"/>
        </w:rPr>
        <w:t>无其</w:t>
      </w:r>
      <w:r>
        <w:rPr>
          <w:rFonts w:hint="eastAsia" w:ascii="仿宋_GB2312" w:eastAsia="仿宋_GB2312" w:cs="宋体"/>
          <w:color w:val="000000"/>
          <w:kern w:val="0"/>
          <w:sz w:val="32"/>
          <w:szCs w:val="32"/>
          <w:lang w:eastAsia="zh-CN"/>
        </w:rPr>
        <w:t>他</w:t>
      </w:r>
      <w:r>
        <w:rPr>
          <w:rFonts w:hint="eastAsia" w:ascii="仿宋_GB2312" w:eastAsia="仿宋_GB2312" w:cs="宋体"/>
          <w:color w:val="000000"/>
          <w:kern w:val="0"/>
          <w:sz w:val="32"/>
          <w:szCs w:val="32"/>
        </w:rPr>
        <w:t>需要说明的事项。</w:t>
      </w:r>
    </w:p>
    <w:p>
      <w:pPr>
        <w:rPr>
          <w:rFonts w:hint="eastAsia" w:ascii="仿宋_GB2312" w:eastAsia="仿宋_GB2312"/>
          <w:sz w:val="32"/>
          <w:szCs w:val="32"/>
        </w:rPr>
      </w:pP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_GBK">
    <w:altName w:val="宋体"/>
    <w:panose1 w:val="00000000000000000000"/>
    <w:charset w:val="00"/>
    <w:family w:val="auto"/>
    <w:pitch w:val="default"/>
    <w:sig w:usb0="00000000" w:usb1="00000000" w:usb2="00000000" w:usb3="00000000" w:csb0="00000000" w:csb1="00000000"/>
  </w:font>
  <w:font w:name="方正书宋_GBK">
    <w:altName w:val="宋体"/>
    <w:panose1 w:val="00000000000000000000"/>
    <w:charset w:val="00"/>
    <w:family w:val="auto"/>
    <w:pitch w:val="default"/>
    <w:sig w:usb0="00000000" w:usb1="00000000" w:usb2="00000000" w:usb3="00000000" w:csb0="00000000" w:csb1="00000000"/>
  </w:font>
  <w:font w:name="FZFangSong-Z02">
    <w:altName w:val="Times New Roman"/>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FELayout/>
    <w:useAltKinsokuLineBreakRules/>
    <w:splitPgBreakAndParaMark/>
    <w:compatSetting w:name="compatibilityMode" w:uri="http://schemas.microsoft.com/office/word" w:val="14"/>
  </w:compat>
  <w:rsids>
    <w:rsidRoot w:val="00000000"/>
    <w:rsid w:val="043F0C94"/>
    <w:rsid w:val="2C017030"/>
    <w:rsid w:val="3AD27015"/>
    <w:rsid w:val="445C45EF"/>
    <w:rsid w:val="4733342E"/>
    <w:rsid w:val="76584A3F"/>
    <w:rsid w:val="798A7BC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5">
    <w:name w:val="Default Paragraph Font"/>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0"/>
    <w:rPr>
      <w:b/>
      <w:bCs/>
    </w:rPr>
  </w:style>
  <w:style w:type="paragraph" w:customStyle="1" w:styleId="7">
    <w:name w:val="Default"/>
    <w:next w:val="3"/>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Pages>16</Pages>
  <Words>4755</Words>
  <Characters>5209</Characters>
  <Lines>607</Lines>
  <Paragraphs>189</Paragraphs>
  <TotalTime>2</TotalTime>
  <ScaleCrop>false</ScaleCrop>
  <LinksUpToDate>false</LinksUpToDate>
  <CharactersWithSpaces>5367</CharactersWithSpaces>
  <Application>WPS Office_11.8.2.10972_F1E327BC-269C-435d-A152-05C5408002CA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2017-10-27T09:15:00Z</dcterms:created>
  <dc:creator>lenovo</dc:creator>
  <cp:lastModifiedBy>Administrator</cp:lastModifiedBy>
  <dcterms:modified xsi:type="dcterms:W3CDTF">2024-01-18T01:43:12Z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9F43B2E00BE545C1A2FC52CEC2A004A1</vt:lpwstr>
  </property>
</Properties>
</file>