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center"/>
        <w:rPr>
          <w:rFonts w:ascii="方正小标宋简体" w:eastAsia="方正小标宋简体" w:cs="宋体"/>
          <w:color w:val="000000"/>
          <w:kern w:val="0"/>
          <w:sz w:val="44"/>
          <w:szCs w:val="44"/>
        </w:rPr>
      </w:pPr>
      <w:r>
        <w:rPr>
          <w:rFonts w:hint="eastAsia" w:ascii="方正小标宋简体" w:eastAsia="方正小标宋简体" w:cs="宋体"/>
          <w:b/>
          <w:bCs/>
          <w:color w:val="000000"/>
          <w:kern w:val="0"/>
          <w:sz w:val="44"/>
          <w:szCs w:val="44"/>
        </w:rPr>
        <w:t>廊坊市广阳区解放道街道办事处</w:t>
      </w:r>
      <w:r>
        <w:rPr>
          <w:rFonts w:ascii="方正小标宋简体" w:eastAsia="方正小标宋简体" w:cs="宋体"/>
          <w:b/>
          <w:bCs/>
          <w:color w:val="000000"/>
          <w:kern w:val="0"/>
          <w:sz w:val="44"/>
          <w:szCs w:val="44"/>
        </w:rPr>
        <w:t>2018</w:t>
      </w:r>
      <w:r>
        <w:rPr>
          <w:rFonts w:hint="eastAsia" w:ascii="方正小标宋简体" w:eastAsia="方正小标宋简体" w:cs="宋体"/>
          <w:b/>
          <w:bCs/>
          <w:color w:val="000000"/>
          <w:kern w:val="0"/>
          <w:sz w:val="44"/>
          <w:szCs w:val="44"/>
        </w:rPr>
        <w:t>年部门预算信息公开</w:t>
      </w:r>
    </w:p>
    <w:p>
      <w:pPr>
        <w:spacing w:line="570" w:lineRule="exact"/>
        <w:ind w:firstLine="640" w:firstLineChars="200"/>
        <w:rPr>
          <w:rFonts w:ascii="仿宋_GB2312" w:eastAsia="仿宋_GB2312" w:cs="宋体"/>
          <w:color w:val="000000"/>
          <w:kern w:val="0"/>
          <w:sz w:val="32"/>
          <w:szCs w:val="32"/>
        </w:rPr>
      </w:pPr>
      <w:r>
        <w:rPr>
          <w:rFonts w:hint="eastAsia" w:ascii="仿宋_GB2312" w:eastAsia="仿宋_GB2312"/>
          <w:sz w:val="32"/>
          <w:szCs w:val="32"/>
        </w:rPr>
        <w:t>按照《</w:t>
      </w:r>
      <w:r>
        <w:rPr>
          <w:rFonts w:hint="eastAsia" w:ascii="仿宋_GB2312" w:eastAsia="仿宋_GB2312"/>
          <w:sz w:val="32"/>
          <w:szCs w:val="32"/>
          <w:lang w:eastAsia="zh-CN"/>
        </w:rPr>
        <w:t>中华人民共和国</w:t>
      </w:r>
      <w:bookmarkStart w:id="0" w:name="_GoBack"/>
      <w:bookmarkEnd w:id="0"/>
      <w:r>
        <w:rPr>
          <w:rFonts w:hint="eastAsia" w:ascii="仿宋_GB2312" w:eastAsia="仿宋_GB2312"/>
          <w:sz w:val="32"/>
          <w:szCs w:val="32"/>
        </w:rPr>
        <w:t>预算法》、《地方预决算公开操作规程》和《河北省省级预算公开办法》规定，现将</w:t>
      </w:r>
      <w:r>
        <w:rPr>
          <w:rFonts w:hint="eastAsia" w:ascii="仿宋_GB2312" w:eastAsia="仿宋_GB2312" w:cs="宋体"/>
          <w:color w:val="000000"/>
          <w:kern w:val="0"/>
          <w:sz w:val="32"/>
          <w:szCs w:val="32"/>
        </w:rPr>
        <w:t>廊坊市广阳区</w:t>
      </w:r>
      <w:r>
        <w:rPr>
          <w:rFonts w:hint="eastAsia" w:ascii="仿宋_GB2312" w:eastAsia="仿宋_GB2312" w:cs="宋体"/>
          <w:bCs/>
          <w:color w:val="000000"/>
          <w:kern w:val="0"/>
          <w:sz w:val="32"/>
          <w:szCs w:val="32"/>
        </w:rPr>
        <w:t>解放道街道办事处</w:t>
      </w:r>
      <w:r>
        <w:rPr>
          <w:rFonts w:hint="eastAsia" w:ascii="仿宋_GB2312" w:eastAsia="仿宋_GB2312" w:cs="宋体"/>
          <w:color w:val="000000"/>
          <w:kern w:val="0"/>
          <w:sz w:val="32"/>
          <w:szCs w:val="32"/>
        </w:rPr>
        <w:t>2018年部门预算公开如下：</w:t>
      </w:r>
    </w:p>
    <w:p>
      <w:pPr>
        <w:widowControl/>
        <w:numPr>
          <w:ilvl w:val="0"/>
          <w:numId w:val="1"/>
        </w:numPr>
        <w:spacing w:line="570" w:lineRule="exact"/>
        <w:jc w:val="left"/>
        <w:rPr>
          <w:rFonts w:ascii="仿宋_GB2312" w:eastAsia="仿宋_GB2312" w:cs="宋体"/>
          <w:b/>
          <w:bCs/>
          <w:color w:val="000000"/>
          <w:kern w:val="0"/>
          <w:sz w:val="32"/>
          <w:szCs w:val="32"/>
        </w:rPr>
      </w:pPr>
      <w:r>
        <w:rPr>
          <w:rFonts w:hint="eastAsia" w:ascii="黑体" w:eastAsia="黑体" w:cs="宋体"/>
          <w:b/>
          <w:bCs/>
          <w:color w:val="000000"/>
          <w:kern w:val="0"/>
          <w:sz w:val="32"/>
          <w:szCs w:val="32"/>
        </w:rPr>
        <w:t>部门职责及机构设置情况</w:t>
      </w:r>
      <w:r>
        <w:rPr>
          <w:rFonts w:ascii="黑体" w:eastAsia="黑体" w:cs="宋体"/>
          <w:b/>
          <w:bCs/>
          <w:color w:val="000000"/>
          <w:kern w:val="0"/>
          <w:sz w:val="32"/>
          <w:szCs w:val="32"/>
        </w:rPr>
        <w:t xml:space="preserve">   </w:t>
      </w:r>
      <w:r>
        <w:rPr>
          <w:rFonts w:ascii="黑体" w:eastAsia="黑体" w:cs="宋体"/>
          <w:color w:val="000000"/>
          <w:kern w:val="0"/>
          <w:sz w:val="32"/>
          <w:szCs w:val="32"/>
        </w:rPr>
        <w:br w:type="textWrapping"/>
      </w:r>
      <w:r>
        <w:rPr>
          <w:rFonts w:hint="eastAsia" w:ascii="楷体_GB2312" w:eastAsia="楷体_GB2312" w:cs="宋体"/>
          <w:b/>
          <w:bCs/>
          <w:color w:val="000000"/>
          <w:kern w:val="0"/>
          <w:sz w:val="32"/>
          <w:szCs w:val="32"/>
        </w:rPr>
        <w:t>部门职责：</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解放道街道办事处作为广阳区委、区政府的派出机构，依据法律、法规和区委、区政府的授权，对辖区内的社区经济、社区管理、社区服务和社区文化行使组织领导、综合协调、执法监督等综合行政管理职能，对地区性、社会性、群众性的工作负全面责任。具体履行以下主要职能：</w:t>
      </w:r>
    </w:p>
    <w:p>
      <w:pPr>
        <w:spacing w:line="57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、宣传、贯彻、落实党的路线、方针、政策和国家的法律法规，执行上级党委、政府的决定和命令；</w:t>
      </w:r>
    </w:p>
    <w:p>
      <w:pPr>
        <w:spacing w:line="57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、制定并组织实施本行政区域内的经济和社会发展规</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划，促进经济和社会事业的全面发展；</w:t>
      </w:r>
    </w:p>
    <w:p>
      <w:pPr>
        <w:spacing w:line="57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、加强街道、社区党的建设，领导和支持群团组织依法独立开展工作；</w:t>
      </w:r>
    </w:p>
    <w:p>
      <w:pPr>
        <w:spacing w:line="57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、依法管理本行政区域内的各项社会事务，组织协调本辖区内机关、团体和企事业单位完成地区性、群众性和社</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会性的工作任务，支持、配合、监督派驻本辖区的</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公安、工商、税务等机构或人员正常开展工作；</w:t>
      </w:r>
    </w:p>
    <w:p>
      <w:pPr>
        <w:spacing w:line="57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、加强街道、社区精神文明建设和文化建设，促进社会文明进步；</w:t>
      </w:r>
    </w:p>
    <w:p>
      <w:pPr>
        <w:spacing w:line="57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、加强街道、社区社会治安综合治理工作，维护社会稳定；</w:t>
      </w:r>
    </w:p>
    <w:p>
      <w:pPr>
        <w:spacing w:line="57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、兴建社区服务设施，强化服务功能，提供多种形式的公共服务；</w:t>
      </w:r>
    </w:p>
    <w:p>
      <w:pPr>
        <w:spacing w:line="57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、加大城市建设与经营管理力度，发展社会公共事业，加快城市建设和发展步伐；</w:t>
      </w:r>
    </w:p>
    <w:p>
      <w:pPr>
        <w:spacing w:line="570" w:lineRule="exact"/>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、完成区委、区政府交办的其它工作任务。</w:t>
      </w:r>
    </w:p>
    <w:p>
      <w:pPr>
        <w:spacing w:line="570" w:lineRule="exact"/>
        <w:ind w:firstLine="560"/>
        <w:rPr>
          <w:rFonts w:ascii="方正仿宋_GBK" w:eastAsia="方正仿宋_GBK"/>
          <w:sz w:val="28"/>
        </w:rPr>
      </w:pPr>
    </w:p>
    <w:p>
      <w:pPr>
        <w:widowControl/>
        <w:spacing w:line="570" w:lineRule="exact"/>
        <w:ind w:left="640" w:leftChars="228" w:hanging="161" w:hangingChars="50"/>
        <w:jc w:val="left"/>
        <w:rPr>
          <w:rFonts w:ascii="楷体_GB2312" w:eastAsia="楷体_GB2312" w:cs="宋体"/>
          <w:color w:val="000000"/>
          <w:kern w:val="0"/>
          <w:sz w:val="32"/>
          <w:szCs w:val="32"/>
        </w:rPr>
      </w:pPr>
      <w:r>
        <w:rPr>
          <w:rFonts w:hint="eastAsia" w:ascii="楷体_GB2312" w:eastAsia="楷体_GB2312" w:cs="宋体"/>
          <w:b/>
          <w:bCs/>
          <w:color w:val="000000"/>
          <w:kern w:val="0"/>
          <w:sz w:val="32"/>
          <w:szCs w:val="32"/>
        </w:rPr>
        <w:t>机构设置：</w:t>
      </w:r>
    </w:p>
    <w:p>
      <w:pPr>
        <w:widowControl/>
        <w:spacing w:line="570" w:lineRule="exact"/>
        <w:jc w:val="center"/>
        <w:rPr>
          <w:rFonts w:ascii="仿宋_GB2312" w:eastAsia="仿宋_GB2312" w:cs="宋体"/>
          <w:color w:val="000000"/>
          <w:kern w:val="0"/>
          <w:sz w:val="32"/>
          <w:szCs w:val="32"/>
        </w:rPr>
      </w:pPr>
      <w:r>
        <w:rPr>
          <w:rFonts w:hint="eastAsia" w:ascii="仿宋_GB2312" w:eastAsia="仿宋_GB2312" w:cs="宋体"/>
          <w:color w:val="000000"/>
          <w:kern w:val="0"/>
          <w:sz w:val="32"/>
          <w:szCs w:val="32"/>
        </w:rPr>
        <w:t>部门机构设置情况</w:t>
      </w:r>
    </w:p>
    <w:tbl>
      <w:tblPr>
        <w:tblStyle w:val="4"/>
        <w:tblW w:w="12333" w:type="dxa"/>
        <w:tblCellSpacing w:w="0" w:type="dxa"/>
        <w:tblInd w:w="44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205"/>
        <w:gridCol w:w="2073"/>
        <w:gridCol w:w="1786"/>
        <w:gridCol w:w="426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1283" w:hRule="atLeast"/>
          <w:tblHeader/>
          <w:tblCellSpacing w:w="0" w:type="dxa"/>
        </w:trPr>
        <w:tc>
          <w:tcPr>
            <w:tcW w:w="4205" w:type="dxa"/>
            <w:tcBorders>
              <w:top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单位名称</w:t>
            </w:r>
          </w:p>
        </w:tc>
        <w:tc>
          <w:tcPr>
            <w:tcW w:w="2073"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单位性质</w:t>
            </w:r>
          </w:p>
        </w:tc>
        <w:tc>
          <w:tcPr>
            <w:tcW w:w="1786"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单位规格</w:t>
            </w:r>
          </w:p>
        </w:tc>
        <w:tc>
          <w:tcPr>
            <w:tcW w:w="4269" w:type="dxa"/>
            <w:tcBorders>
              <w:top w:val="outset" w:color="auto" w:sz="6" w:space="0"/>
              <w:left w:val="outset" w:color="auto" w:sz="6" w:space="0"/>
              <w:bottom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经费保障形式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5" w:hRule="atLeast"/>
          <w:tblCellSpacing w:w="0" w:type="dxa"/>
        </w:trPr>
        <w:tc>
          <w:tcPr>
            <w:tcW w:w="4205" w:type="dxa"/>
            <w:tcBorders>
              <w:top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廊坊市广阳区解放道街道办事处</w:t>
            </w:r>
          </w:p>
        </w:tc>
        <w:tc>
          <w:tcPr>
            <w:tcW w:w="2073"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行政单位</w:t>
            </w:r>
          </w:p>
          <w:p>
            <w:pPr>
              <w:widowControl/>
              <w:spacing w:line="570" w:lineRule="exact"/>
              <w:jc w:val="center"/>
              <w:rPr>
                <w:rFonts w:ascii="仿宋_GB2312" w:eastAsia="仿宋_GB2312" w:cs="宋体"/>
                <w:kern w:val="0"/>
                <w:sz w:val="32"/>
                <w:szCs w:val="32"/>
              </w:rPr>
            </w:pPr>
          </w:p>
        </w:tc>
        <w:tc>
          <w:tcPr>
            <w:tcW w:w="1786"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正科级</w:t>
            </w:r>
          </w:p>
        </w:tc>
        <w:tc>
          <w:tcPr>
            <w:tcW w:w="4269" w:type="dxa"/>
            <w:tcBorders>
              <w:top w:val="outset" w:color="auto" w:sz="6" w:space="0"/>
              <w:left w:val="outset" w:color="auto" w:sz="6" w:space="0"/>
              <w:bottom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财政拨款</w:t>
            </w:r>
          </w:p>
        </w:tc>
      </w:tr>
    </w:tbl>
    <w:p>
      <w:pPr>
        <w:widowControl/>
        <w:spacing w:line="570" w:lineRule="exact"/>
        <w:jc w:val="left"/>
        <w:rPr>
          <w:rFonts w:ascii="仿宋_GB2312" w:eastAsia="仿宋_GB2312" w:cs="宋体"/>
          <w:color w:val="000000"/>
          <w:kern w:val="0"/>
          <w:sz w:val="32"/>
          <w:szCs w:val="32"/>
        </w:rPr>
      </w:pPr>
      <w:r>
        <w:rPr>
          <w:rFonts w:ascii="宋体" w:hAnsi="宋体" w:eastAsia="黑体" w:cs="宋体"/>
          <w:color w:val="000000"/>
          <w:kern w:val="0"/>
          <w:sz w:val="32"/>
          <w:szCs w:val="32"/>
        </w:rPr>
        <w:t> </w:t>
      </w:r>
      <w:r>
        <w:rPr>
          <w:rFonts w:hint="eastAsia" w:ascii="黑体" w:eastAsia="黑体" w:cs="宋体"/>
          <w:b/>
          <w:bCs/>
          <w:color w:val="000000"/>
          <w:kern w:val="0"/>
          <w:sz w:val="32"/>
          <w:szCs w:val="32"/>
        </w:rPr>
        <w:t>二、部门预算安排的总体情况</w:t>
      </w:r>
      <w:r>
        <w:rPr>
          <w:rFonts w:ascii="黑体" w:eastAsia="黑体" w:cs="宋体"/>
          <w:color w:val="000000"/>
          <w:kern w:val="0"/>
          <w:sz w:val="32"/>
          <w:szCs w:val="32"/>
        </w:rPr>
        <w:br w:type="textWrapping"/>
      </w:r>
      <w:r>
        <w:rPr>
          <w:rFonts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按照预算管理有关规定，目前我区部门预算的编制实行综合预算制度，即全部收入和支出都反映在预算中。</w:t>
      </w:r>
      <w:r>
        <w:rPr>
          <w:rFonts w:hint="eastAsia" w:ascii="仿宋_GB2312" w:hAnsi="Times New Roman" w:eastAsia="仿宋_GB2312" w:cs="Times New Roman"/>
          <w:sz w:val="32"/>
          <w:szCs w:val="32"/>
        </w:rPr>
        <w:t>廊坊市</w:t>
      </w:r>
      <w:r>
        <w:rPr>
          <w:rFonts w:hint="eastAsia" w:ascii="仿宋_GB2312" w:eastAsia="仿宋_GB2312" w:cs="宋体"/>
          <w:kern w:val="0"/>
          <w:sz w:val="32"/>
          <w:szCs w:val="32"/>
        </w:rPr>
        <w:t>广阳区解放道街道办事处</w:t>
      </w:r>
      <w:r>
        <w:rPr>
          <w:rFonts w:hint="eastAsia" w:ascii="仿宋_GB2312" w:hAnsi="Times New Roman" w:eastAsia="仿宋_GB2312" w:cs="Times New Roman"/>
          <w:sz w:val="32"/>
          <w:szCs w:val="32"/>
        </w:rPr>
        <w:t>机关及所属事业单位的收支包含在部门预算中。</w:t>
      </w:r>
    </w:p>
    <w:p>
      <w:pPr>
        <w:widowControl/>
        <w:spacing w:line="570" w:lineRule="exact"/>
        <w:ind w:firstLine="643" w:firstLineChars="200"/>
        <w:jc w:val="left"/>
        <w:rPr>
          <w:rFonts w:ascii="仿宋_GB2312" w:eastAsia="仿宋_GB2312" w:cs="宋体"/>
          <w:color w:val="000000"/>
          <w:kern w:val="0"/>
          <w:sz w:val="32"/>
          <w:szCs w:val="32"/>
        </w:rPr>
      </w:pPr>
      <w:r>
        <w:rPr>
          <w:rFonts w:ascii="楷体_GB2312" w:eastAsia="楷体_GB2312" w:cs="宋体"/>
          <w:b/>
          <w:bCs/>
          <w:color w:val="000000"/>
          <w:kern w:val="0"/>
          <w:sz w:val="32"/>
          <w:szCs w:val="32"/>
        </w:rPr>
        <w:t>1</w:t>
      </w:r>
      <w:r>
        <w:rPr>
          <w:rFonts w:hint="eastAsia" w:ascii="楷体_GB2312" w:eastAsia="楷体_GB2312" w:cs="宋体"/>
          <w:b/>
          <w:bCs/>
          <w:color w:val="000000"/>
          <w:kern w:val="0"/>
          <w:sz w:val="32"/>
          <w:szCs w:val="32"/>
        </w:rPr>
        <w:t>、收入说明</w:t>
      </w:r>
    </w:p>
    <w:p>
      <w:pPr>
        <w:spacing w:line="570" w:lineRule="exact"/>
        <w:ind w:firstLine="640" w:firstLineChars="200"/>
        <w:jc w:val="left"/>
        <w:rPr>
          <w:rFonts w:ascii="仿宋_GB2312" w:eastAsia="仿宋_GB2312" w:cs="宋体"/>
          <w:color w:val="000000"/>
          <w:kern w:val="0"/>
          <w:sz w:val="32"/>
          <w:szCs w:val="32"/>
        </w:rPr>
      </w:pPr>
      <w:r>
        <w:rPr>
          <w:rFonts w:ascii="仿宋_GB2312" w:eastAsia="仿宋_GB2312" w:cs="宋体"/>
          <w:color w:val="000000"/>
          <w:kern w:val="0"/>
          <w:sz w:val="32"/>
          <w:szCs w:val="32"/>
        </w:rPr>
        <w:t>2018</w:t>
      </w:r>
      <w:r>
        <w:rPr>
          <w:rFonts w:hint="eastAsia" w:ascii="仿宋_GB2312" w:eastAsia="仿宋_GB2312" w:cs="宋体"/>
          <w:color w:val="000000"/>
          <w:kern w:val="0"/>
          <w:sz w:val="32"/>
          <w:szCs w:val="32"/>
        </w:rPr>
        <w:t>年预算收入</w:t>
      </w:r>
      <w:r>
        <w:rPr>
          <w:rFonts w:ascii="仿宋_GB2312" w:eastAsia="仿宋_GB2312" w:cs="宋体"/>
          <w:color w:val="000000"/>
          <w:kern w:val="0"/>
          <w:sz w:val="32"/>
          <w:szCs w:val="32"/>
        </w:rPr>
        <w:t>1904.47</w:t>
      </w:r>
      <w:r>
        <w:rPr>
          <w:rFonts w:hint="eastAsia" w:ascii="仿宋_GB2312" w:eastAsia="仿宋_GB2312" w:cs="宋体"/>
          <w:color w:val="000000"/>
          <w:kern w:val="0"/>
          <w:sz w:val="32"/>
          <w:szCs w:val="32"/>
        </w:rPr>
        <w:t>万元，其中：一般公共预算收入</w:t>
      </w:r>
      <w:r>
        <w:rPr>
          <w:rFonts w:ascii="仿宋_GB2312" w:eastAsia="仿宋_GB2312" w:cs="宋体"/>
          <w:color w:val="000000"/>
          <w:kern w:val="0"/>
          <w:sz w:val="32"/>
          <w:szCs w:val="32"/>
        </w:rPr>
        <w:t>1904.47</w:t>
      </w:r>
      <w:r>
        <w:rPr>
          <w:rFonts w:hint="eastAsia" w:ascii="仿宋_GB2312" w:eastAsia="仿宋_GB2312" w:cs="宋体"/>
          <w:color w:val="000000"/>
          <w:kern w:val="0"/>
          <w:sz w:val="32"/>
          <w:szCs w:val="32"/>
        </w:rPr>
        <w:t>万元，政府性基金收入</w:t>
      </w:r>
      <w:r>
        <w:rPr>
          <w:rFonts w:ascii="仿宋_GB2312" w:eastAsia="仿宋_GB2312" w:cs="宋体"/>
          <w:color w:val="000000"/>
          <w:kern w:val="0"/>
          <w:sz w:val="32"/>
          <w:szCs w:val="32"/>
        </w:rPr>
        <w:t>0</w:t>
      </w:r>
      <w:r>
        <w:rPr>
          <w:rFonts w:hint="eastAsia" w:ascii="仿宋_GB2312" w:eastAsia="仿宋_GB2312" w:cs="宋体"/>
          <w:color w:val="000000"/>
          <w:kern w:val="0"/>
          <w:sz w:val="32"/>
          <w:szCs w:val="32"/>
        </w:rPr>
        <w:t>万元，财政专户核拨收入0万元，其他来源收入0万元</w:t>
      </w:r>
      <w:r>
        <w:rPr>
          <w:rFonts w:ascii="仿宋_GB2312" w:eastAsia="仿宋_GB2312" w:cs="宋体"/>
          <w:color w:val="000000"/>
          <w:kern w:val="0"/>
          <w:sz w:val="32"/>
          <w:szCs w:val="32"/>
        </w:rPr>
        <w:t xml:space="preserve"> </w:t>
      </w:r>
    </w:p>
    <w:p>
      <w:pPr>
        <w:widowControl/>
        <w:spacing w:line="570" w:lineRule="exact"/>
        <w:ind w:firstLine="643" w:firstLineChars="200"/>
        <w:jc w:val="left"/>
        <w:rPr>
          <w:rFonts w:ascii="仿宋_GB2312" w:eastAsia="仿宋_GB2312" w:cs="宋体"/>
          <w:color w:val="000000"/>
          <w:kern w:val="0"/>
          <w:sz w:val="32"/>
          <w:szCs w:val="32"/>
        </w:rPr>
      </w:pPr>
      <w:r>
        <w:rPr>
          <w:rFonts w:ascii="楷体_GB2312" w:eastAsia="楷体_GB2312" w:cs="宋体"/>
          <w:b/>
          <w:bCs/>
          <w:color w:val="000000"/>
          <w:kern w:val="0"/>
          <w:sz w:val="32"/>
          <w:szCs w:val="32"/>
        </w:rPr>
        <w:t>2</w:t>
      </w:r>
      <w:r>
        <w:rPr>
          <w:rFonts w:hint="eastAsia" w:ascii="楷体_GB2312" w:eastAsia="楷体_GB2312" w:cs="宋体"/>
          <w:b/>
          <w:bCs/>
          <w:color w:val="000000"/>
          <w:kern w:val="0"/>
          <w:sz w:val="32"/>
          <w:szCs w:val="32"/>
        </w:rPr>
        <w:t>、支出说明</w:t>
      </w:r>
    </w:p>
    <w:p>
      <w:pPr>
        <w:spacing w:line="570" w:lineRule="exact"/>
        <w:ind w:firstLine="640" w:firstLineChars="200"/>
        <w:rPr>
          <w:rFonts w:ascii="仿宋_GB2312" w:eastAsia="仿宋_GB2312" w:cs="宋体"/>
          <w:color w:val="000000"/>
          <w:kern w:val="0"/>
          <w:sz w:val="32"/>
          <w:szCs w:val="32"/>
        </w:rPr>
      </w:pPr>
      <w:r>
        <w:rPr>
          <w:rFonts w:hint="eastAsia" w:ascii="仿宋_GB2312" w:eastAsia="仿宋_GB2312" w:cs="宋体"/>
          <w:color w:val="000000"/>
          <w:kern w:val="0"/>
          <w:sz w:val="32"/>
          <w:szCs w:val="32"/>
        </w:rPr>
        <w:t>收支预算总表支出栏、基本支出表、项目支出表按经济分类和支出功能分类科目编制，反映河北省廊坊市广阳区解放道街道办事处</w:t>
      </w:r>
      <w:r>
        <w:rPr>
          <w:rFonts w:ascii="仿宋_GB2312" w:eastAsia="仿宋_GB2312" w:cs="宋体"/>
          <w:color w:val="000000"/>
          <w:kern w:val="0"/>
          <w:sz w:val="32"/>
          <w:szCs w:val="32"/>
        </w:rPr>
        <w:t>2018</w:t>
      </w:r>
      <w:r>
        <w:rPr>
          <w:rFonts w:hint="eastAsia" w:ascii="仿宋_GB2312" w:eastAsia="仿宋_GB2312" w:cs="宋体"/>
          <w:color w:val="000000"/>
          <w:kern w:val="0"/>
          <w:sz w:val="32"/>
          <w:szCs w:val="32"/>
        </w:rPr>
        <w:t>年度部门预算中支出预算的总体情况。</w:t>
      </w:r>
      <w:r>
        <w:rPr>
          <w:rFonts w:ascii="仿宋_GB2312" w:eastAsia="仿宋_GB2312" w:cs="宋体"/>
          <w:color w:val="000000"/>
          <w:kern w:val="0"/>
          <w:sz w:val="32"/>
          <w:szCs w:val="32"/>
        </w:rPr>
        <w:t>2018</w:t>
      </w:r>
      <w:r>
        <w:rPr>
          <w:rFonts w:hint="eastAsia" w:ascii="仿宋_GB2312" w:eastAsia="仿宋_GB2312" w:cs="宋体"/>
          <w:color w:val="000000"/>
          <w:kern w:val="0"/>
          <w:sz w:val="32"/>
          <w:szCs w:val="32"/>
        </w:rPr>
        <w:t>年支出预算</w:t>
      </w:r>
      <w:r>
        <w:rPr>
          <w:rFonts w:ascii="仿宋_GB2312" w:eastAsia="仿宋_GB2312" w:cs="宋体"/>
          <w:color w:val="000000"/>
          <w:kern w:val="0"/>
          <w:sz w:val="32"/>
          <w:szCs w:val="32"/>
        </w:rPr>
        <w:t>1904.47</w:t>
      </w:r>
      <w:r>
        <w:rPr>
          <w:rFonts w:hint="eastAsia" w:ascii="仿宋_GB2312" w:eastAsia="仿宋_GB2312" w:cs="宋体"/>
          <w:color w:val="000000"/>
          <w:kern w:val="0"/>
          <w:sz w:val="32"/>
          <w:szCs w:val="32"/>
        </w:rPr>
        <w:t>万元，其中基本支出</w:t>
      </w:r>
      <w:r>
        <w:rPr>
          <w:rFonts w:ascii="仿宋_GB2312" w:eastAsia="仿宋_GB2312" w:cs="宋体"/>
          <w:color w:val="000000"/>
          <w:kern w:val="0"/>
          <w:sz w:val="32"/>
          <w:szCs w:val="32"/>
        </w:rPr>
        <w:t>1753.44</w:t>
      </w:r>
      <w:r>
        <w:rPr>
          <w:rFonts w:hint="eastAsia" w:ascii="仿宋_GB2312" w:eastAsia="仿宋_GB2312" w:cs="宋体"/>
          <w:color w:val="000000"/>
          <w:kern w:val="0"/>
          <w:sz w:val="32"/>
          <w:szCs w:val="32"/>
        </w:rPr>
        <w:t>万元，包括人员经费1614.34万元和日常公用经费139.10万元；项目支出</w:t>
      </w:r>
      <w:r>
        <w:rPr>
          <w:rFonts w:ascii="仿宋_GB2312" w:eastAsia="仿宋_GB2312" w:cs="宋体"/>
          <w:color w:val="000000"/>
          <w:kern w:val="0"/>
          <w:sz w:val="32"/>
          <w:szCs w:val="32"/>
        </w:rPr>
        <w:t>151.03</w:t>
      </w:r>
      <w:r>
        <w:rPr>
          <w:rFonts w:hint="eastAsia" w:ascii="仿宋_GB2312" w:eastAsia="仿宋_GB2312" w:cs="宋体"/>
          <w:color w:val="000000"/>
          <w:kern w:val="0"/>
          <w:sz w:val="32"/>
          <w:szCs w:val="32"/>
        </w:rPr>
        <w:t>万元，包括本级支出，主要为基层政权和社区建设经费等。</w:t>
      </w:r>
    </w:p>
    <w:p>
      <w:pPr>
        <w:widowControl/>
        <w:spacing w:line="570" w:lineRule="exact"/>
        <w:ind w:firstLine="643" w:firstLineChars="200"/>
        <w:jc w:val="left"/>
        <w:rPr>
          <w:rFonts w:ascii="楷体_GB2312" w:eastAsia="楷体_GB2312" w:cs="宋体"/>
          <w:b/>
          <w:bCs/>
          <w:color w:val="000000"/>
          <w:kern w:val="0"/>
          <w:sz w:val="32"/>
          <w:szCs w:val="32"/>
        </w:rPr>
      </w:pPr>
      <w:r>
        <w:rPr>
          <w:rFonts w:ascii="楷体_GB2312" w:eastAsia="楷体_GB2312" w:cs="宋体"/>
          <w:b/>
          <w:bCs/>
          <w:color w:val="000000"/>
          <w:kern w:val="0"/>
          <w:sz w:val="32"/>
          <w:szCs w:val="32"/>
        </w:rPr>
        <w:t>3</w:t>
      </w:r>
      <w:r>
        <w:rPr>
          <w:rFonts w:hint="eastAsia" w:ascii="楷体_GB2312" w:eastAsia="楷体_GB2312" w:cs="宋体"/>
          <w:b/>
          <w:bCs/>
          <w:color w:val="000000"/>
          <w:kern w:val="0"/>
          <w:sz w:val="32"/>
          <w:szCs w:val="32"/>
        </w:rPr>
        <w:t>、比上年增减情况</w:t>
      </w:r>
    </w:p>
    <w:p>
      <w:pPr>
        <w:widowControl/>
        <w:spacing w:line="570" w:lineRule="exact"/>
        <w:ind w:firstLine="640" w:firstLineChars="200"/>
        <w:jc w:val="left"/>
        <w:rPr>
          <w:rFonts w:ascii="仿宋_GB2312" w:eastAsia="仿宋_GB2312" w:cs="宋体"/>
          <w:color w:val="000000"/>
          <w:kern w:val="0"/>
          <w:sz w:val="32"/>
          <w:szCs w:val="32"/>
        </w:rPr>
      </w:pPr>
      <w:r>
        <w:rPr>
          <w:rFonts w:ascii="仿宋_GB2312" w:eastAsia="仿宋_GB2312" w:cs="宋体"/>
          <w:color w:val="000000"/>
          <w:kern w:val="0"/>
          <w:sz w:val="32"/>
          <w:szCs w:val="32"/>
        </w:rPr>
        <w:t>2018</w:t>
      </w:r>
      <w:r>
        <w:rPr>
          <w:rFonts w:hint="eastAsia" w:ascii="仿宋_GB2312" w:eastAsia="仿宋_GB2312" w:cs="宋体"/>
          <w:color w:val="000000"/>
          <w:kern w:val="0"/>
          <w:sz w:val="32"/>
          <w:szCs w:val="32"/>
        </w:rPr>
        <w:t>年预算收支安排</w:t>
      </w:r>
      <w:r>
        <w:rPr>
          <w:rFonts w:ascii="仿宋_GB2312" w:eastAsia="仿宋_GB2312" w:cs="宋体"/>
          <w:color w:val="000000"/>
          <w:kern w:val="0"/>
          <w:sz w:val="32"/>
          <w:szCs w:val="32"/>
        </w:rPr>
        <w:t>1904.47</w:t>
      </w:r>
      <w:r>
        <w:rPr>
          <w:rFonts w:hint="eastAsia" w:ascii="仿宋_GB2312" w:eastAsia="仿宋_GB2312" w:cs="宋体"/>
          <w:color w:val="000000"/>
          <w:kern w:val="0"/>
          <w:sz w:val="32"/>
          <w:szCs w:val="32"/>
        </w:rPr>
        <w:t>万元，较</w:t>
      </w:r>
      <w:r>
        <w:rPr>
          <w:rFonts w:ascii="仿宋_GB2312" w:eastAsia="仿宋_GB2312" w:cs="宋体"/>
          <w:color w:val="000000"/>
          <w:kern w:val="0"/>
          <w:sz w:val="32"/>
          <w:szCs w:val="32"/>
        </w:rPr>
        <w:t>2017</w:t>
      </w:r>
      <w:r>
        <w:rPr>
          <w:rFonts w:hint="eastAsia" w:ascii="仿宋_GB2312" w:eastAsia="仿宋_GB2312" w:cs="宋体"/>
          <w:color w:val="000000"/>
          <w:kern w:val="0"/>
          <w:sz w:val="32"/>
          <w:szCs w:val="32"/>
        </w:rPr>
        <w:t>年预算增加</w:t>
      </w:r>
      <w:r>
        <w:rPr>
          <w:rFonts w:ascii="仿宋_GB2312" w:eastAsia="仿宋_GB2312" w:cs="宋体"/>
          <w:color w:val="000000"/>
          <w:kern w:val="0"/>
          <w:sz w:val="32"/>
          <w:szCs w:val="32"/>
        </w:rPr>
        <w:t>383.67</w:t>
      </w:r>
      <w:r>
        <w:rPr>
          <w:rFonts w:hint="eastAsia" w:ascii="仿宋_GB2312" w:eastAsia="仿宋_GB2312" w:cs="宋体"/>
          <w:color w:val="000000"/>
          <w:kern w:val="0"/>
          <w:sz w:val="32"/>
          <w:szCs w:val="32"/>
        </w:rPr>
        <w:t>万元，其中：基本支出增加</w:t>
      </w:r>
      <w:r>
        <w:rPr>
          <w:rFonts w:ascii="仿宋_GB2312" w:eastAsia="仿宋_GB2312" w:cs="宋体"/>
          <w:color w:val="000000"/>
          <w:kern w:val="0"/>
          <w:sz w:val="32"/>
          <w:szCs w:val="32"/>
        </w:rPr>
        <w:t>233.36</w:t>
      </w:r>
      <w:r>
        <w:rPr>
          <w:rFonts w:hint="eastAsia" w:ascii="仿宋_GB2312" w:eastAsia="仿宋_GB2312" w:cs="宋体"/>
          <w:color w:val="000000"/>
          <w:kern w:val="0"/>
          <w:sz w:val="32"/>
          <w:szCs w:val="32"/>
        </w:rPr>
        <w:t>万元，主要为增加人员经费</w:t>
      </w:r>
      <w:r>
        <w:rPr>
          <w:rFonts w:ascii="仿宋_GB2312" w:eastAsia="仿宋_GB2312" w:cs="宋体"/>
          <w:color w:val="000000"/>
          <w:kern w:val="0"/>
          <w:sz w:val="32"/>
          <w:szCs w:val="32"/>
        </w:rPr>
        <w:t>233.36</w:t>
      </w:r>
      <w:r>
        <w:rPr>
          <w:rFonts w:hint="eastAsia" w:ascii="仿宋_GB2312" w:eastAsia="仿宋_GB2312" w:cs="宋体"/>
          <w:color w:val="000000"/>
          <w:kern w:val="0"/>
          <w:sz w:val="32"/>
          <w:szCs w:val="32"/>
        </w:rPr>
        <w:t>支出；项目支出增加</w:t>
      </w:r>
      <w:r>
        <w:rPr>
          <w:rFonts w:ascii="仿宋_GB2312" w:eastAsia="仿宋_GB2312" w:cs="宋体"/>
          <w:color w:val="000000"/>
          <w:kern w:val="0"/>
          <w:sz w:val="32"/>
          <w:szCs w:val="32"/>
        </w:rPr>
        <w:t>151.03</w:t>
      </w:r>
      <w:r>
        <w:rPr>
          <w:rFonts w:hint="eastAsia" w:ascii="仿宋_GB2312" w:eastAsia="仿宋_GB2312" w:cs="宋体"/>
          <w:color w:val="000000"/>
          <w:kern w:val="0"/>
          <w:sz w:val="32"/>
          <w:szCs w:val="32"/>
        </w:rPr>
        <w:t>万元，主要增加社区建设项目支出。</w:t>
      </w:r>
      <w:r>
        <w:rPr>
          <w:rFonts w:ascii="仿宋_GB2312" w:eastAsia="仿宋_GB2312" w:cs="宋体"/>
          <w:color w:val="000000"/>
          <w:kern w:val="0"/>
          <w:sz w:val="32"/>
          <w:szCs w:val="32"/>
        </w:rPr>
        <w:br w:type="textWrapping"/>
      </w:r>
      <w:r>
        <w:rPr>
          <w:rFonts w:hint="eastAsia" w:ascii="黑体" w:eastAsia="黑体" w:cs="宋体"/>
          <w:b/>
          <w:bCs/>
          <w:color w:val="000000"/>
          <w:kern w:val="0"/>
          <w:sz w:val="32"/>
          <w:szCs w:val="32"/>
        </w:rPr>
        <w:t>三、机关运行经费安排情况</w:t>
      </w:r>
    </w:p>
    <w:p>
      <w:pPr>
        <w:widowControl/>
        <w:spacing w:line="570" w:lineRule="exact"/>
        <w:ind w:firstLine="640" w:firstLineChars="200"/>
        <w:jc w:val="left"/>
        <w:rPr>
          <w:rFonts w:ascii="仿宋_GB2312" w:eastAsia="仿宋_GB2312" w:cs="宋体"/>
          <w:color w:val="000000"/>
          <w:kern w:val="0"/>
          <w:sz w:val="32"/>
          <w:szCs w:val="32"/>
        </w:rPr>
      </w:pPr>
      <w:r>
        <w:rPr>
          <w:rFonts w:ascii="仿宋_GB2312" w:eastAsia="仿宋_GB2312" w:cs="宋体"/>
          <w:color w:val="000000"/>
          <w:kern w:val="0"/>
          <w:sz w:val="32"/>
          <w:szCs w:val="32"/>
        </w:rPr>
        <w:t>2018</w:t>
      </w:r>
      <w:r>
        <w:rPr>
          <w:rFonts w:hint="eastAsia" w:ascii="仿宋_GB2312" w:eastAsia="仿宋_GB2312" w:cs="宋体"/>
          <w:color w:val="000000"/>
          <w:kern w:val="0"/>
          <w:sz w:val="32"/>
          <w:szCs w:val="32"/>
        </w:rPr>
        <w:t>年预算安排我部门机关运行经费10.24万元，其中办公经费</w:t>
      </w:r>
      <w:r>
        <w:rPr>
          <w:rFonts w:ascii="仿宋_GB2312" w:eastAsia="仿宋_GB2312" w:cs="宋体"/>
          <w:color w:val="000000"/>
          <w:kern w:val="0"/>
          <w:sz w:val="32"/>
          <w:szCs w:val="32"/>
        </w:rPr>
        <w:t>10.24</w:t>
      </w:r>
      <w:r>
        <w:rPr>
          <w:rFonts w:hint="eastAsia" w:ascii="仿宋_GB2312" w:eastAsia="仿宋_GB2312" w:cs="宋体"/>
          <w:color w:val="000000"/>
          <w:kern w:val="0"/>
          <w:sz w:val="32"/>
          <w:szCs w:val="32"/>
        </w:rPr>
        <w:t>万元</w:t>
      </w:r>
      <w:r>
        <w:rPr>
          <w:rFonts w:ascii="仿宋_GB2312" w:eastAsia="仿宋_GB2312" w:cs="宋体"/>
          <w:color w:val="000000"/>
          <w:kern w:val="0"/>
          <w:sz w:val="32"/>
          <w:szCs w:val="32"/>
        </w:rPr>
        <w:t>,其他业务费0万元</w:t>
      </w:r>
      <w:r>
        <w:rPr>
          <w:rFonts w:hint="eastAsia" w:ascii="仿宋_GB2312" w:eastAsia="仿宋_GB2312" w:cs="宋体"/>
          <w:color w:val="000000"/>
          <w:kern w:val="0"/>
          <w:sz w:val="32"/>
          <w:szCs w:val="32"/>
        </w:rPr>
        <w:t>。主要用于街道办公区的日常维修、办公用房水电费、办公用房取暖费、办公用房物业管理费等日常运行支出。</w:t>
      </w:r>
    </w:p>
    <w:p>
      <w:pPr>
        <w:widowControl/>
        <w:spacing w:line="570" w:lineRule="exact"/>
        <w:jc w:val="left"/>
        <w:rPr>
          <w:rFonts w:ascii="黑体" w:eastAsia="黑体" w:cs="宋体"/>
          <w:b/>
          <w:bCs/>
          <w:color w:val="000000"/>
          <w:kern w:val="0"/>
          <w:sz w:val="32"/>
          <w:szCs w:val="32"/>
        </w:rPr>
      </w:pPr>
      <w:r>
        <w:rPr>
          <w:rFonts w:hint="eastAsia" w:ascii="黑体" w:eastAsia="黑体" w:cs="宋体"/>
          <w:b/>
          <w:bCs/>
          <w:color w:val="000000"/>
          <w:kern w:val="0"/>
          <w:sz w:val="32"/>
          <w:szCs w:val="32"/>
        </w:rPr>
        <w:t>四、财政拨款“三公”经费预算情况及增减变化原因</w:t>
      </w:r>
    </w:p>
    <w:p>
      <w:pPr>
        <w:autoSpaceDE w:val="0"/>
        <w:autoSpaceDN w:val="0"/>
        <w:adjustRightInd w:val="0"/>
        <w:spacing w:line="570" w:lineRule="exact"/>
        <w:ind w:left="198" w:firstLine="640" w:firstLineChars="200"/>
        <w:jc w:val="left"/>
        <w:rPr>
          <w:rFonts w:ascii="仿宋_GB2312" w:eastAsia="仿宋_GB2312" w:cs="宋体"/>
          <w:color w:val="000000"/>
          <w:kern w:val="0"/>
          <w:sz w:val="32"/>
          <w:szCs w:val="32"/>
        </w:rPr>
      </w:pPr>
      <w:r>
        <w:rPr>
          <w:rFonts w:ascii="仿宋_GB2312" w:eastAsia="仿宋_GB2312" w:cs="宋体"/>
          <w:color w:val="000000"/>
          <w:kern w:val="0"/>
          <w:sz w:val="32"/>
          <w:szCs w:val="32"/>
        </w:rPr>
        <w:t>2018</w:t>
      </w:r>
      <w:r>
        <w:rPr>
          <w:rFonts w:hint="eastAsia" w:ascii="仿宋_GB2312" w:eastAsia="仿宋_GB2312" w:cs="宋体"/>
          <w:color w:val="000000"/>
          <w:kern w:val="0"/>
          <w:sz w:val="32"/>
          <w:szCs w:val="32"/>
        </w:rPr>
        <w:t>年，我部门“三公”经费预算安排</w:t>
      </w:r>
      <w:r>
        <w:rPr>
          <w:rFonts w:ascii="仿宋_GB2312" w:eastAsia="仿宋_GB2312" w:cs="宋体"/>
          <w:color w:val="000000"/>
          <w:kern w:val="0"/>
          <w:sz w:val="32"/>
          <w:szCs w:val="32"/>
        </w:rPr>
        <w:t>4.6</w:t>
      </w:r>
      <w:r>
        <w:rPr>
          <w:rFonts w:hint="eastAsia" w:ascii="仿宋_GB2312" w:eastAsia="仿宋_GB2312" w:cs="宋体"/>
          <w:color w:val="000000"/>
          <w:kern w:val="0"/>
          <w:sz w:val="32"/>
          <w:szCs w:val="32"/>
        </w:rPr>
        <w:t>万元，其中因公出国（境）费</w:t>
      </w:r>
      <w:r>
        <w:rPr>
          <w:rFonts w:ascii="仿宋_GB2312" w:eastAsia="仿宋_GB2312" w:cs="宋体"/>
          <w:color w:val="000000"/>
          <w:kern w:val="0"/>
          <w:sz w:val="32"/>
          <w:szCs w:val="32"/>
        </w:rPr>
        <w:t>0</w:t>
      </w:r>
      <w:r>
        <w:rPr>
          <w:rFonts w:hint="eastAsia" w:ascii="仿宋_GB2312" w:eastAsia="仿宋_GB2312" w:cs="宋体"/>
          <w:color w:val="000000"/>
          <w:kern w:val="0"/>
          <w:sz w:val="32"/>
          <w:szCs w:val="32"/>
        </w:rPr>
        <w:t>万元；公务用车购置及运维费</w:t>
      </w:r>
      <w:r>
        <w:rPr>
          <w:rFonts w:ascii="仿宋_GB2312" w:eastAsia="仿宋_GB2312" w:cs="宋体"/>
          <w:color w:val="000000"/>
          <w:kern w:val="0"/>
          <w:sz w:val="32"/>
          <w:szCs w:val="32"/>
        </w:rPr>
        <w:t>4.6</w:t>
      </w:r>
      <w:r>
        <w:rPr>
          <w:rFonts w:hint="eastAsia" w:ascii="仿宋_GB2312" w:eastAsia="仿宋_GB2312" w:cs="宋体"/>
          <w:color w:val="000000"/>
          <w:kern w:val="0"/>
          <w:sz w:val="32"/>
          <w:szCs w:val="32"/>
        </w:rPr>
        <w:t>万元（其中：公务用车购置费为</w:t>
      </w:r>
      <w:r>
        <w:rPr>
          <w:rFonts w:ascii="仿宋_GB2312" w:eastAsia="仿宋_GB2312" w:cs="宋体"/>
          <w:color w:val="000000"/>
          <w:kern w:val="0"/>
          <w:sz w:val="32"/>
          <w:szCs w:val="32"/>
        </w:rPr>
        <w:t>0</w:t>
      </w:r>
      <w:r>
        <w:rPr>
          <w:rFonts w:hint="eastAsia" w:ascii="仿宋_GB2312" w:eastAsia="仿宋_GB2312" w:cs="宋体"/>
          <w:color w:val="000000"/>
          <w:kern w:val="0"/>
          <w:sz w:val="32"/>
          <w:szCs w:val="32"/>
        </w:rPr>
        <w:t>万元，公务用车运行费为</w:t>
      </w:r>
      <w:r>
        <w:rPr>
          <w:rFonts w:ascii="仿宋_GB2312" w:eastAsia="仿宋_GB2312" w:cs="宋体"/>
          <w:color w:val="000000"/>
          <w:kern w:val="0"/>
          <w:sz w:val="32"/>
          <w:szCs w:val="32"/>
        </w:rPr>
        <w:t>4.6</w:t>
      </w:r>
      <w:r>
        <w:rPr>
          <w:rFonts w:hint="eastAsia" w:ascii="仿宋_GB2312" w:eastAsia="仿宋_GB2312" w:cs="宋体"/>
          <w:color w:val="000000"/>
          <w:kern w:val="0"/>
          <w:sz w:val="32"/>
          <w:szCs w:val="32"/>
        </w:rPr>
        <w:t>万元</w:t>
      </w:r>
      <w:r>
        <w:rPr>
          <w:rFonts w:ascii="仿宋_GB2312" w:eastAsia="仿宋_GB2312" w:cs="宋体"/>
          <w:color w:val="000000"/>
          <w:kern w:val="0"/>
          <w:sz w:val="32"/>
          <w:szCs w:val="32"/>
        </w:rPr>
        <w:t>)</w:t>
      </w:r>
      <w:r>
        <w:rPr>
          <w:rFonts w:hint="eastAsia" w:ascii="仿宋_GB2312" w:eastAsia="仿宋_GB2312" w:cs="宋体"/>
          <w:color w:val="000000"/>
          <w:kern w:val="0"/>
          <w:sz w:val="32"/>
          <w:szCs w:val="32"/>
        </w:rPr>
        <w:t>；公务接待费</w:t>
      </w:r>
      <w:r>
        <w:rPr>
          <w:rFonts w:ascii="仿宋_GB2312" w:eastAsia="仿宋_GB2312" w:cs="宋体"/>
          <w:color w:val="000000"/>
          <w:kern w:val="0"/>
          <w:sz w:val="32"/>
          <w:szCs w:val="32"/>
        </w:rPr>
        <w:t>0</w:t>
      </w:r>
      <w:r>
        <w:rPr>
          <w:rFonts w:hint="eastAsia" w:ascii="仿宋_GB2312" w:eastAsia="仿宋_GB2312" w:cs="宋体"/>
          <w:color w:val="000000"/>
          <w:kern w:val="0"/>
          <w:sz w:val="32"/>
          <w:szCs w:val="32"/>
        </w:rPr>
        <w:t>万元。</w:t>
      </w:r>
      <w:r>
        <w:rPr>
          <w:rFonts w:ascii="仿宋_GB2312" w:eastAsia="仿宋_GB2312" w:cs="宋体"/>
          <w:color w:val="000000"/>
          <w:kern w:val="0"/>
          <w:sz w:val="32"/>
          <w:szCs w:val="32"/>
        </w:rPr>
        <w:t>较2017</w:t>
      </w:r>
      <w:r>
        <w:rPr>
          <w:rFonts w:hint="eastAsia" w:ascii="仿宋_GB2312" w:eastAsia="仿宋_GB2312" w:cs="宋体"/>
          <w:color w:val="000000"/>
          <w:kern w:val="0"/>
          <w:sz w:val="32"/>
          <w:szCs w:val="32"/>
        </w:rPr>
        <w:t>年增</w:t>
      </w:r>
      <w:r>
        <w:rPr>
          <w:rFonts w:ascii="仿宋_GB2312" w:eastAsia="仿宋_GB2312" w:cs="宋体"/>
          <w:color w:val="000000"/>
          <w:kern w:val="0"/>
          <w:sz w:val="32"/>
          <w:szCs w:val="32"/>
        </w:rPr>
        <w:t>4.6</w:t>
      </w:r>
      <w:r>
        <w:rPr>
          <w:rFonts w:hint="eastAsia" w:ascii="仿宋_GB2312" w:eastAsia="仿宋_GB2312" w:cs="宋体"/>
          <w:color w:val="000000"/>
          <w:kern w:val="0"/>
          <w:sz w:val="32"/>
          <w:szCs w:val="32"/>
        </w:rPr>
        <w:t>万元，主要原因是工作量急剧增加。</w:t>
      </w:r>
      <w:r>
        <w:rPr>
          <w:rFonts w:ascii="仿宋_GB2312" w:eastAsia="仿宋_GB2312" w:cs="宋体"/>
          <w:color w:val="000000"/>
          <w:kern w:val="0"/>
          <w:sz w:val="32"/>
          <w:szCs w:val="32"/>
        </w:rPr>
        <w:br w:type="textWrapping"/>
      </w:r>
      <w:r>
        <w:rPr>
          <w:rFonts w:hint="eastAsia" w:ascii="黑体" w:eastAsia="黑体" w:cs="宋体"/>
          <w:b/>
          <w:bCs/>
          <w:color w:val="000000"/>
          <w:kern w:val="0"/>
          <w:sz w:val="32"/>
          <w:szCs w:val="32"/>
        </w:rPr>
        <w:t>五、绩效预算信息</w:t>
      </w:r>
      <w:r>
        <w:rPr>
          <w:rFonts w:ascii="黑体" w:eastAsia="黑体" w:cs="宋体"/>
          <w:color w:val="000000"/>
          <w:kern w:val="0"/>
          <w:sz w:val="32"/>
          <w:szCs w:val="32"/>
        </w:rPr>
        <w:br w:type="textWrapping"/>
      </w:r>
      <w:r>
        <w:rPr>
          <w:rFonts w:hint="eastAsia" w:ascii="楷体_GB2312" w:eastAsia="楷体_GB2312" w:cs="宋体"/>
          <w:b/>
          <w:bCs/>
          <w:color w:val="000000"/>
          <w:kern w:val="0"/>
          <w:sz w:val="32"/>
          <w:szCs w:val="32"/>
        </w:rPr>
        <w:t>总体绩效目标：</w:t>
      </w:r>
      <w:r>
        <w:rPr>
          <w:rFonts w:ascii="仿宋_GB2312" w:eastAsia="仿宋_GB2312" w:cs="宋体"/>
          <w:color w:val="000000"/>
          <w:kern w:val="0"/>
          <w:sz w:val="32"/>
          <w:szCs w:val="32"/>
        </w:rPr>
        <w:br w:type="textWrapping"/>
      </w:r>
      <w:r>
        <w:rPr>
          <w:rFonts w:hint="eastAsia" w:ascii="楷体_GB2312" w:eastAsia="楷体_GB2312"/>
          <w:b/>
          <w:sz w:val="32"/>
          <w:szCs w:val="32"/>
        </w:rPr>
        <w:t>（一）、基层党建促提质。</w:t>
      </w:r>
      <w:r>
        <w:rPr>
          <w:rFonts w:hint="eastAsia" w:ascii="仿宋_GB2312" w:eastAsia="仿宋_GB2312"/>
          <w:sz w:val="32"/>
          <w:szCs w:val="32"/>
        </w:rPr>
        <w:t>一是在强化服务意识上下功夫。培养树立街道干部群众第一的理念，以求真务实的精神深入群众之中，体察民情、了解民意，为群众诚心诚意办实事、尽心尽力解难事、坚持不懈做好事。二是在提升综合素质上下功夫。加强街居干部理论知识、前沿科技知识和先进经验的学习，研究新政策，吃透新情况，不断提升自身素质。坚持“学中干，干中学”，深入社区、深入居民，在基层实践中锻炼提高。三是在提升工作效能上下功夫。继续建立健全各项规章制度，加强机关作风建设，充分发挥纪检部门的监督作用，不断增强街居干部的纪律意识、责任意识和大局意识，坚决杜绝纪律松驰、工作拖延、自由散漫等消极怠工现象，努力提高工作效率。四是在创新服务载体上下功夫。积极推广在职党员进社区、结对帮扶等做法，运用多种形式和手段开展服务；广泛开展以党员为骨干的各类志愿服务；充分调动广大群众自我管理、自我服务的积极性，构建以党组织为核心、全社会共同参与的服务格局。</w:t>
      </w:r>
      <w:r>
        <w:rPr>
          <w:rFonts w:ascii="仿宋_GB2312" w:eastAsia="仿宋_GB2312"/>
          <w:sz w:val="32"/>
          <w:szCs w:val="32"/>
        </w:rPr>
        <w:br w:type="textWrapping"/>
      </w:r>
      <w:r>
        <w:rPr>
          <w:rFonts w:ascii="方正仿宋_GBK" w:eastAsia="方正仿宋_GBK"/>
          <w:sz w:val="28"/>
        </w:rPr>
        <w:t xml:space="preserve">    </w:t>
      </w:r>
      <w:r>
        <w:rPr>
          <w:rFonts w:hint="eastAsia" w:ascii="楷体_GB2312" w:eastAsia="楷体_GB2312"/>
          <w:b/>
          <w:sz w:val="32"/>
          <w:szCs w:val="32"/>
        </w:rPr>
        <w:t>（二）、项目引建求突破。</w:t>
      </w:r>
      <w:r>
        <w:rPr>
          <w:rFonts w:hint="eastAsia" w:ascii="仿宋_GB2312" w:eastAsia="仿宋_GB2312"/>
          <w:sz w:val="32"/>
          <w:szCs w:val="32"/>
        </w:rPr>
        <w:t>不断优化招商结构和投资环境，注重引进规模大、质量好的项目，特别是高端现代服务业项目，高科技、高附加值、高税收项目。加大重点项目的推进力度，找准联建户突破口，形成多部门执法合力，实现对土地和资源的有效利用，加快辖区土地的全面盘活，培育辖区经济增长点。</w:t>
      </w:r>
    </w:p>
    <w:p>
      <w:pPr>
        <w:spacing w:line="570" w:lineRule="exact"/>
        <w:ind w:firstLine="560"/>
        <w:rPr>
          <w:rFonts w:ascii="仿宋_GB2312" w:eastAsia="仿宋_GB2312"/>
          <w:sz w:val="32"/>
          <w:szCs w:val="32"/>
        </w:rPr>
      </w:pPr>
      <w:r>
        <w:rPr>
          <w:rFonts w:hint="eastAsia" w:ascii="楷体_GB2312" w:eastAsia="楷体_GB2312"/>
          <w:b/>
          <w:sz w:val="32"/>
          <w:szCs w:val="32"/>
        </w:rPr>
        <w:t>（三）、社区创建增亮点。</w:t>
      </w:r>
      <w:r>
        <w:rPr>
          <w:rFonts w:hint="eastAsia" w:ascii="仿宋_GB2312" w:eastAsia="仿宋_GB2312"/>
          <w:sz w:val="32"/>
          <w:szCs w:val="32"/>
        </w:rPr>
        <w:t>一是深化社区服务功能。紧紧围绕志愿者服务开展工作，进一步创新服务形式，以“特色专业志愿服务团队”建设为侧重点，细化服务方向，提高服务质量，不断开创新开路街道惠民利民新品牌。二是创新社区管理机制体制。鼓励辖区各类组织、单位和个人共驻共建，力争建立起覆盖社区全体成员、服务主体多元、服务功能完善、服务质量和管理模式都达到领先水平的社区服务体系。三是挖掘特色精品社区创建内涵。将</w:t>
      </w:r>
      <w:r>
        <w:rPr>
          <w:rFonts w:ascii="仿宋_GB2312" w:eastAsia="仿宋_GB2312"/>
          <w:sz w:val="32"/>
          <w:szCs w:val="32"/>
        </w:rPr>
        <w:t>13</w:t>
      </w:r>
      <w:r>
        <w:rPr>
          <w:rFonts w:hint="eastAsia" w:ascii="仿宋_GB2312" w:eastAsia="仿宋_GB2312"/>
          <w:sz w:val="32"/>
          <w:szCs w:val="32"/>
        </w:rPr>
        <w:t>个社区划分为“三个三分之一”，其中三分之一老旧社区加强社区建设，摸索建立社区特色；三分之一已有特色社区加大挖掘力度，出亮点，立标杆；三分之一重点社区强化街道扶持，树品牌，建口碑，争取取得各社区特色各异，百花齐放的良好效果。</w:t>
      </w:r>
    </w:p>
    <w:p>
      <w:pPr>
        <w:spacing w:line="570" w:lineRule="exact"/>
        <w:ind w:firstLine="560"/>
        <w:rPr>
          <w:rFonts w:ascii="仿宋_GB2312" w:eastAsia="仿宋_GB2312"/>
          <w:sz w:val="32"/>
          <w:szCs w:val="32"/>
        </w:rPr>
      </w:pPr>
      <w:r>
        <w:rPr>
          <w:rFonts w:hint="eastAsia" w:ascii="楷体_GB2312" w:eastAsia="楷体_GB2312"/>
          <w:b/>
          <w:sz w:val="32"/>
          <w:szCs w:val="32"/>
        </w:rPr>
        <w:t>（四）、和谐共建保稳定。</w:t>
      </w:r>
      <w:r>
        <w:rPr>
          <w:rFonts w:hint="eastAsia" w:ascii="仿宋_GB2312" w:eastAsia="仿宋_GB2312"/>
          <w:sz w:val="32"/>
          <w:szCs w:val="32"/>
        </w:rPr>
        <w:t>一是强化维稳意识。在原有上访点有效地化解的基础上，将防复发、防新发的任务作为重点，时刻紧绷维护稳定这根弦，将问题想在困难处，想在发生前，将隐患消除在萌芽状态。二是强化安全意识。进一步推动落实企业主体责任，强化重点领域专项整治，健全隐患排查长效管理机制，强化安全生产培训教育，加强和有关部门的协调配合，从源头打击控制非法、违法行为，创造良好平稳的安全生产环境。三是强化大气污染防治。细化大气污染防治网格化管理，明确责任，工作有的放矢。并加强督导，强化机制。同时不断加大宣传教育力度，营造干群齐心协力防治大气污染、改善生态环境的浓厚氛围。</w:t>
      </w:r>
    </w:p>
    <w:p>
      <w:pPr>
        <w:spacing w:line="570" w:lineRule="exact"/>
        <w:ind w:left="1063" w:leftChars="49" w:hanging="960" w:hangingChars="300"/>
        <w:rPr>
          <w:rFonts w:ascii="仿宋_GB2312" w:eastAsia="仿宋_GB2312" w:cs="宋体"/>
          <w:color w:val="000000"/>
          <w:kern w:val="0"/>
          <w:sz w:val="32"/>
          <w:szCs w:val="32"/>
        </w:rPr>
      </w:pPr>
      <w:r>
        <w:rPr>
          <w:rFonts w:ascii="宋体" w:hAnsi="宋体" w:eastAsia="仿宋_GB2312" w:cs="宋体"/>
          <w:color w:val="000000"/>
          <w:kern w:val="0"/>
          <w:sz w:val="32"/>
          <w:szCs w:val="32"/>
        </w:rPr>
        <w:t xml:space="preserve">    </w:t>
      </w:r>
      <w:r>
        <w:rPr>
          <w:rFonts w:hint="eastAsia" w:ascii="仿宋_GB2312" w:eastAsia="仿宋_GB2312" w:cs="宋体"/>
          <w:b/>
          <w:bCs/>
          <w:color w:val="000000"/>
          <w:kern w:val="0"/>
          <w:sz w:val="32"/>
          <w:szCs w:val="32"/>
        </w:rPr>
        <w:t>职责分类绩效目标：</w:t>
      </w:r>
    </w:p>
    <w:p>
      <w:pPr>
        <w:spacing w:line="570" w:lineRule="exact"/>
        <w:ind w:left="105" w:leftChars="50" w:firstLine="640" w:firstLineChars="200"/>
        <w:rPr>
          <w:rFonts w:ascii="仿宋_GB2312" w:eastAsia="仿宋_GB2312" w:cs="宋体"/>
          <w:color w:val="000000"/>
          <w:kern w:val="0"/>
          <w:sz w:val="32"/>
          <w:szCs w:val="32"/>
        </w:rPr>
      </w:pPr>
      <w:r>
        <w:rPr>
          <w:rFonts w:hint="eastAsia" w:ascii="仿宋_GB2312" w:eastAsia="仿宋_GB2312"/>
          <w:sz w:val="32"/>
          <w:szCs w:val="32"/>
        </w:rPr>
        <w:t>解放道街道办事处作为广阳区委、区政府的派出机构，依据法律、法规和区委、区政府的授权，对辖区内的社区经济、社区管理、社区服务和社区文化行使组织领导、综合协调、执法监督等综合行政管理职能，对地区性、社会性、群众性的工作负全面责任。具体履行以下主要职能：</w:t>
      </w:r>
    </w:p>
    <w:p>
      <w:pPr>
        <w:spacing w:line="570" w:lineRule="exact"/>
        <w:ind w:firstLine="560"/>
        <w:rPr>
          <w:rFonts w:ascii="仿宋_GB2312" w:eastAsia="仿宋_GB2312"/>
          <w:sz w:val="32"/>
          <w:szCs w:val="32"/>
        </w:rPr>
      </w:pPr>
      <w:r>
        <w:rPr>
          <w:rFonts w:hint="eastAsia" w:ascii="仿宋_GB2312" w:eastAsia="仿宋_GB2312"/>
          <w:sz w:val="32"/>
          <w:szCs w:val="32"/>
        </w:rPr>
        <w:t>1、宣传、贯彻、落实党的路线、方针、政策和国家的法律法规，执行上级党委、政府的决定和命令；</w:t>
      </w:r>
    </w:p>
    <w:p>
      <w:pPr>
        <w:spacing w:line="570" w:lineRule="exact"/>
        <w:ind w:firstLine="560"/>
        <w:rPr>
          <w:rFonts w:ascii="仿宋_GB2312" w:eastAsia="仿宋_GB2312"/>
          <w:sz w:val="32"/>
          <w:szCs w:val="32"/>
        </w:rPr>
      </w:pPr>
      <w:r>
        <w:rPr>
          <w:rFonts w:hint="eastAsia" w:ascii="仿宋_GB2312" w:eastAsia="仿宋_GB2312"/>
          <w:sz w:val="32"/>
          <w:szCs w:val="32"/>
        </w:rPr>
        <w:t>2、制定并组织实施本行政区域内的经济和社会发展规划，促进经济和社会事业的全面发展；</w:t>
      </w:r>
    </w:p>
    <w:p>
      <w:pPr>
        <w:spacing w:line="570" w:lineRule="exact"/>
        <w:ind w:firstLine="560"/>
        <w:rPr>
          <w:rFonts w:ascii="仿宋_GB2312" w:eastAsia="仿宋_GB2312"/>
          <w:sz w:val="32"/>
          <w:szCs w:val="32"/>
        </w:rPr>
      </w:pPr>
      <w:r>
        <w:rPr>
          <w:rFonts w:hint="eastAsia" w:ascii="仿宋_GB2312" w:eastAsia="仿宋_GB2312"/>
          <w:sz w:val="32"/>
          <w:szCs w:val="32"/>
        </w:rPr>
        <w:t>3、加强街道、社区党的建设，领导和支持群团组织依法独立开展工作；</w:t>
      </w:r>
    </w:p>
    <w:p>
      <w:pPr>
        <w:spacing w:line="570" w:lineRule="exact"/>
        <w:rPr>
          <w:rFonts w:ascii="仿宋_GB2312" w:eastAsia="仿宋_GB2312"/>
          <w:sz w:val="32"/>
          <w:szCs w:val="32"/>
        </w:rPr>
      </w:pPr>
      <w:r>
        <w:rPr>
          <w:rFonts w:hint="eastAsia" w:ascii="仿宋_GB2312" w:eastAsia="仿宋_GB2312"/>
          <w:sz w:val="32"/>
          <w:szCs w:val="32"/>
        </w:rPr>
        <w:t xml:space="preserve">   4、依法管理本行政区域内的各项社会事务，组织协调本辖区内机关、团体和企事业单位完成地区性、群众性和社</w:t>
      </w:r>
    </w:p>
    <w:p>
      <w:pPr>
        <w:spacing w:line="570" w:lineRule="exact"/>
        <w:ind w:firstLine="560"/>
        <w:rPr>
          <w:rFonts w:ascii="仿宋_GB2312" w:eastAsia="仿宋_GB2312"/>
          <w:sz w:val="32"/>
          <w:szCs w:val="32"/>
        </w:rPr>
      </w:pPr>
      <w:r>
        <w:rPr>
          <w:rFonts w:hint="eastAsia" w:ascii="仿宋_GB2312" w:eastAsia="仿宋_GB2312"/>
          <w:sz w:val="32"/>
          <w:szCs w:val="32"/>
        </w:rPr>
        <w:t>会性的工作任务，支持、配合、监督派驻本辖区的</w:t>
      </w:r>
    </w:p>
    <w:p>
      <w:pPr>
        <w:spacing w:line="570" w:lineRule="exact"/>
        <w:ind w:firstLine="560"/>
        <w:rPr>
          <w:rFonts w:ascii="仿宋_GB2312" w:eastAsia="仿宋_GB2312"/>
          <w:sz w:val="32"/>
          <w:szCs w:val="32"/>
        </w:rPr>
      </w:pPr>
      <w:r>
        <w:rPr>
          <w:rFonts w:hint="eastAsia" w:ascii="仿宋_GB2312" w:eastAsia="仿宋_GB2312"/>
          <w:sz w:val="32"/>
          <w:szCs w:val="32"/>
        </w:rPr>
        <w:t>公安、工商、税务等机构或人员正常开展工作；</w:t>
      </w:r>
    </w:p>
    <w:p>
      <w:pPr>
        <w:spacing w:line="570" w:lineRule="exact"/>
        <w:ind w:firstLine="560"/>
        <w:rPr>
          <w:rFonts w:ascii="仿宋_GB2312" w:eastAsia="仿宋_GB2312"/>
          <w:sz w:val="32"/>
          <w:szCs w:val="32"/>
        </w:rPr>
      </w:pPr>
      <w:r>
        <w:rPr>
          <w:rFonts w:hint="eastAsia" w:ascii="仿宋_GB2312" w:eastAsia="仿宋_GB2312"/>
          <w:sz w:val="32"/>
          <w:szCs w:val="32"/>
        </w:rPr>
        <w:t>5、加强街道、社区精神文明建设和文化建设，促进社会文明进步；</w:t>
      </w:r>
    </w:p>
    <w:p>
      <w:pPr>
        <w:spacing w:line="570" w:lineRule="exact"/>
        <w:ind w:firstLine="560"/>
        <w:rPr>
          <w:rFonts w:ascii="仿宋_GB2312" w:eastAsia="仿宋_GB2312"/>
          <w:sz w:val="32"/>
          <w:szCs w:val="32"/>
        </w:rPr>
      </w:pPr>
      <w:r>
        <w:rPr>
          <w:rFonts w:hint="eastAsia" w:ascii="仿宋_GB2312" w:eastAsia="仿宋_GB2312"/>
          <w:sz w:val="32"/>
          <w:szCs w:val="32"/>
        </w:rPr>
        <w:t>6、加强街道、社区社会治安综合治理工作，维护社会稳定；</w:t>
      </w:r>
    </w:p>
    <w:p>
      <w:pPr>
        <w:spacing w:line="570" w:lineRule="exact"/>
        <w:ind w:firstLine="560"/>
        <w:rPr>
          <w:rFonts w:ascii="仿宋_GB2312" w:eastAsia="仿宋_GB2312"/>
          <w:sz w:val="32"/>
          <w:szCs w:val="32"/>
        </w:rPr>
      </w:pPr>
      <w:r>
        <w:rPr>
          <w:rFonts w:hint="eastAsia" w:ascii="仿宋_GB2312" w:eastAsia="仿宋_GB2312"/>
          <w:sz w:val="32"/>
          <w:szCs w:val="32"/>
        </w:rPr>
        <w:t>7、兴建社区服务设施，强化服务功能，提供多种形式的公共服务；</w:t>
      </w:r>
    </w:p>
    <w:p>
      <w:pPr>
        <w:spacing w:line="570" w:lineRule="exact"/>
        <w:ind w:firstLine="560"/>
        <w:rPr>
          <w:rFonts w:ascii="仿宋_GB2312" w:eastAsia="仿宋_GB2312"/>
          <w:sz w:val="32"/>
          <w:szCs w:val="32"/>
        </w:rPr>
      </w:pPr>
      <w:r>
        <w:rPr>
          <w:rFonts w:hint="eastAsia" w:ascii="仿宋_GB2312" w:eastAsia="仿宋_GB2312"/>
          <w:sz w:val="32"/>
          <w:szCs w:val="32"/>
        </w:rPr>
        <w:t>8、加大城市建设与经营管理力度，发展社会公共事业，加快城市建设和发展步伐；</w:t>
      </w:r>
    </w:p>
    <w:p>
      <w:pPr>
        <w:spacing w:line="570" w:lineRule="exact"/>
        <w:ind w:firstLine="560"/>
        <w:rPr>
          <w:rFonts w:ascii="仿宋_GB2312" w:eastAsia="仿宋_GB2312"/>
          <w:sz w:val="32"/>
          <w:szCs w:val="32"/>
        </w:rPr>
      </w:pPr>
      <w:r>
        <w:rPr>
          <w:rFonts w:hint="eastAsia" w:ascii="仿宋_GB2312" w:eastAsia="仿宋_GB2312"/>
          <w:sz w:val="32"/>
          <w:szCs w:val="32"/>
        </w:rPr>
        <w:t>9、完成区委、区政府交办的其它工作任务。</w:t>
      </w:r>
    </w:p>
    <w:p>
      <w:pPr>
        <w:widowControl/>
        <w:spacing w:line="570" w:lineRule="exact"/>
        <w:ind w:left="160" w:leftChars="76" w:firstLine="480" w:firstLineChars="150"/>
        <w:jc w:val="left"/>
        <w:rPr>
          <w:rFonts w:hint="eastAsia" w:ascii="宋体" w:hAnsi="宋体" w:eastAsia="仿宋_GB2312" w:cs="宋体"/>
          <w:color w:val="000000"/>
          <w:kern w:val="0"/>
          <w:sz w:val="32"/>
          <w:szCs w:val="32"/>
        </w:rPr>
      </w:pPr>
      <w:r>
        <w:rPr>
          <w:rFonts w:ascii="宋体" w:hAnsi="宋体" w:eastAsia="仿宋_GB2312" w:cs="宋体"/>
          <w:color w:val="000000"/>
          <w:kern w:val="0"/>
          <w:sz w:val="32"/>
          <w:szCs w:val="32"/>
        </w:rPr>
        <w:t> </w:t>
      </w:r>
    </w:p>
    <w:p>
      <w:pPr>
        <w:widowControl/>
        <w:spacing w:line="570" w:lineRule="exact"/>
        <w:ind w:left="160" w:leftChars="76" w:firstLine="482" w:firstLineChars="150"/>
        <w:jc w:val="left"/>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部门职责</w:t>
      </w:r>
      <w:r>
        <w:rPr>
          <w:rFonts w:ascii="仿宋_GB2312" w:eastAsia="仿宋_GB2312" w:cs="宋体"/>
          <w:b/>
          <w:bCs/>
          <w:color w:val="000000"/>
          <w:kern w:val="0"/>
          <w:sz w:val="32"/>
          <w:szCs w:val="32"/>
        </w:rPr>
        <w:t>-</w:t>
      </w:r>
      <w:r>
        <w:rPr>
          <w:rFonts w:hint="eastAsia" w:ascii="仿宋_GB2312" w:eastAsia="仿宋_GB2312" w:cs="宋体"/>
          <w:b/>
          <w:bCs/>
          <w:color w:val="000000"/>
          <w:kern w:val="0"/>
          <w:sz w:val="32"/>
          <w:szCs w:val="32"/>
        </w:rPr>
        <w:t>工作活动绩效目标</w:t>
      </w:r>
    </w:p>
    <w:p>
      <w:pPr>
        <w:widowControl/>
        <w:spacing w:line="570" w:lineRule="exact"/>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 </w:t>
      </w:r>
    </w:p>
    <w:tbl>
      <w:tblPr>
        <w:tblStyle w:val="4"/>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l2br w:val="nil"/>
              <w:tr2bl w:val="nil"/>
            </w:tcBorders>
            <w:shd w:val="clear" w:color="auto" w:fill="auto"/>
            <w:vAlign w:val="center"/>
          </w:tcPr>
          <w:p>
            <w:pPr>
              <w:spacing w:line="300" w:lineRule="exact"/>
              <w:jc w:val="left"/>
              <w:rPr>
                <w:rFonts w:ascii="方正小标宋_GBK" w:eastAsia="方正小标宋_GBK"/>
                <w:sz w:val="24"/>
              </w:rPr>
            </w:pPr>
            <w:r>
              <w:rPr>
                <w:rFonts w:hint="eastAsia" w:ascii="方正小标宋_GBK" w:eastAsia="方正小标宋_GBK"/>
                <w:sz w:val="24"/>
              </w:rPr>
              <w:t>919-廊坊市广阳区解放道街道办事处</w:t>
            </w:r>
          </w:p>
        </w:tc>
        <w:tc>
          <w:tcPr>
            <w:tcW w:w="2948" w:type="dxa"/>
            <w:gridSpan w:val="4"/>
            <w:tcBorders>
              <w:top w:val="single" w:color="FFFFFF" w:sz="6" w:space="0"/>
              <w:left w:val="single" w:color="FFFFFF" w:sz="6" w:space="0"/>
              <w:right w:val="single" w:color="FFFFFF" w:sz="6" w:space="0"/>
              <w:tl2br w:val="nil"/>
              <w:tr2bl w:val="nil"/>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2341" w:type="dxa"/>
            <w:vMerge w:val="restart"/>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vMerge w:val="continue"/>
            <w:tcBorders>
              <w:tl2br w:val="nil"/>
              <w:tr2bl w:val="nil"/>
            </w:tcBorders>
            <w:shd w:val="clear" w:color="auto" w:fill="auto"/>
            <w:vAlign w:val="center"/>
          </w:tcPr>
          <w:p/>
        </w:tc>
        <w:tc>
          <w:tcPr>
            <w:tcW w:w="737"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一、政务服务</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政务公开、镇政府、街办处会议管理、督察督办、政务联络等工作。</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突出政务、加强事务、提升服务，力求重点工作出精品，难点工作求突破、基础工作有创新、常规工作见特色。以机关干部作风量化指标为依据，增强了工作综合服务实力。</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1、政务公开</w:t>
            </w:r>
          </w:p>
        </w:tc>
        <w:tc>
          <w:tcPr>
            <w:tcW w:w="1276" w:type="dxa"/>
            <w:vMerge w:val="restart"/>
            <w:tcBorders>
              <w:tl2br w:val="nil"/>
              <w:tr2bl w:val="nil"/>
            </w:tcBorders>
            <w:shd w:val="clear" w:color="auto" w:fill="auto"/>
            <w:vAlign w:val="center"/>
          </w:tcPr>
          <w:p>
            <w:pPr>
              <w:spacing w:line="300" w:lineRule="exact"/>
              <w:jc w:val="left"/>
              <w:rPr>
                <w:rFonts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承担街办处政务公开暨行政权力公开透明运行工作领导小组的日常工作，指导和协调全街办处政务公开及政务服务中心建设、推进行政服务体系标准化建设工作。</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通过完成街办处政务信息公开工作的指导监督工作，使全街办处信息公开业务队伍素质不断提高，业务水平进一步提升；政府政务信息公开范围不断扩大，公开内容得到进一步细化。</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政务公开率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政务公开次数</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政务公开内容</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2、政务联络</w:t>
            </w:r>
          </w:p>
        </w:tc>
        <w:tc>
          <w:tcPr>
            <w:tcW w:w="1276" w:type="dxa"/>
            <w:vMerge w:val="restart"/>
            <w:tcBorders>
              <w:tl2br w:val="nil"/>
              <w:tr2bl w:val="nil"/>
            </w:tcBorders>
            <w:shd w:val="clear" w:color="auto" w:fill="auto"/>
            <w:vAlign w:val="center"/>
          </w:tcPr>
          <w:p>
            <w:pPr>
              <w:spacing w:line="300" w:lineRule="exact"/>
              <w:jc w:val="left"/>
              <w:rPr>
                <w:rFonts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负责管理区政府驻外办事处工作。负责区领导、区有关部门公务活动的接待安排；</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做好区际间与本街办处政务往来服务保障工作</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重大活动联络服务工作完成率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重大会议的协调安保工作完成率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重大会议的内容完成情况</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对外联络任务完成次数</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对外联络任务完成程度</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对外联络任务效果</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3、会议管理</w:t>
            </w:r>
          </w:p>
        </w:tc>
        <w:tc>
          <w:tcPr>
            <w:tcW w:w="1276" w:type="dxa"/>
            <w:vMerge w:val="restart"/>
            <w:tcBorders>
              <w:tl2br w:val="nil"/>
              <w:tr2bl w:val="nil"/>
            </w:tcBorders>
            <w:shd w:val="clear" w:color="auto" w:fill="auto"/>
            <w:vAlign w:val="center"/>
          </w:tcPr>
          <w:p>
            <w:pPr>
              <w:spacing w:line="300" w:lineRule="exact"/>
              <w:jc w:val="left"/>
              <w:rPr>
                <w:rFonts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政府会议的准备和服务工作，协助政府领导组织会议决定事项的落实。</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做好街道会议保障；严格召开的会议审批，控制会议费开支规模。</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大型会议控制率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重大会议的协调安保工作完成率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大型会议执行度</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4、督查督办</w:t>
            </w:r>
          </w:p>
        </w:tc>
        <w:tc>
          <w:tcPr>
            <w:tcW w:w="1276" w:type="dxa"/>
            <w:vMerge w:val="restart"/>
            <w:tcBorders>
              <w:tl2br w:val="nil"/>
              <w:tr2bl w:val="nil"/>
            </w:tcBorders>
            <w:shd w:val="clear" w:color="auto" w:fill="auto"/>
            <w:vAlign w:val="center"/>
          </w:tcPr>
          <w:p>
            <w:pPr>
              <w:spacing w:line="300" w:lineRule="exact"/>
              <w:jc w:val="left"/>
              <w:rPr>
                <w:rFonts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督促检查街道各部门对政府决定事项及政府领导重要指示的执行落实情况并跟踪调研，及时向领导报告。组织承办人大代表和政协提案工作。</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确保街道决定事项及街道领导重要指示得到贯彻落实。</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决策部署督查反馈率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督察督办次数</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督察督办程度</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二、应急管理</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基层政府值班工作，及时报告重要情况，传达和督促落实街办处领导指示。协助街办处领导做好需由基层政府组织处理的突发事件应急处置工作。</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运行维护好镇政府应急平台，实现各种实用功能，有效保证镇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镇镇、各部门应急工作，确保信息报送及时畅通，不出差错和问题。</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1、应急管理</w:t>
            </w:r>
          </w:p>
        </w:tc>
        <w:tc>
          <w:tcPr>
            <w:tcW w:w="1276" w:type="dxa"/>
            <w:vMerge w:val="restart"/>
            <w:tcBorders>
              <w:tl2br w:val="nil"/>
              <w:tr2bl w:val="nil"/>
            </w:tcBorders>
            <w:shd w:val="clear" w:color="auto" w:fill="auto"/>
            <w:vAlign w:val="center"/>
          </w:tcPr>
          <w:p>
            <w:pPr>
              <w:spacing w:line="300" w:lineRule="exact"/>
              <w:jc w:val="left"/>
              <w:rPr>
                <w:rFonts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政府值班工作，及时报告重要情况，传达和督促落实镇政府领导指示。协助镇政府领导做好需由镇政府组织处理的突发事件应急处置工作。</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维护好本地政府应急平台，确保街办处应急工作顺利完成；各类突发事件得到及时妥善处置</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突发事件处理率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突发事件处理程度</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突发事件处理效果</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三、电子政务管理</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政务信息服务工作和政府系统机关电子政务工作。</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各类会议顺利进行；保障街道网络系统安全、稳定运行，技术设备安全可用。严格执行会议技术保障服务流程和电视电话会议室管理制度。切实提高技术保障和服务能力，力争领导满意、群众满意、部门满意。</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1、政府电子政务管理与服务</w:t>
            </w:r>
          </w:p>
        </w:tc>
        <w:tc>
          <w:tcPr>
            <w:tcW w:w="1276" w:type="dxa"/>
            <w:vMerge w:val="restart"/>
            <w:tcBorders>
              <w:tl2br w:val="nil"/>
              <w:tr2bl w:val="nil"/>
            </w:tcBorders>
            <w:shd w:val="clear" w:color="auto" w:fill="auto"/>
            <w:vAlign w:val="center"/>
          </w:tcPr>
          <w:p>
            <w:pPr>
              <w:spacing w:line="300" w:lineRule="exact"/>
              <w:jc w:val="left"/>
              <w:rPr>
                <w:rFonts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政务信息服务工作和政府系统机关电子政务工作。</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确保各类会议顺利进行；保障街道网络系统安全、稳定运行，技术设备安全可用</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网站事故次数</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网站内容</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网站作用</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四、地方志事务</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全街道地方志事务管理。</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弘扬和传承优秀文化传统，充分发挥志书“资政、存史、教化”的综合功能，为社会各界方便快捷提供县情，为本县经济社会建设服务，为地方志工作者提供资料和工具。</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1、地方志事务管理</w:t>
            </w:r>
          </w:p>
        </w:tc>
        <w:tc>
          <w:tcPr>
            <w:tcW w:w="1276" w:type="dxa"/>
            <w:vMerge w:val="restart"/>
            <w:tcBorders>
              <w:tl2br w:val="nil"/>
              <w:tr2bl w:val="nil"/>
            </w:tcBorders>
            <w:shd w:val="clear" w:color="auto" w:fill="auto"/>
            <w:vAlign w:val="center"/>
          </w:tcPr>
          <w:p>
            <w:pPr>
              <w:spacing w:line="300" w:lineRule="exact"/>
              <w:jc w:val="left"/>
              <w:rPr>
                <w:rFonts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拟订全街道地方志工作规划并组织实施；搜集、保存、管理地方文献和资料；组织开发利用地方志资源；建设和维护街道地方志县情网络。</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为社会各界方便快捷提供街道情，为经济社会建设服务</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编印差错率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真实程度</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影响范围</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五、街道政务管理</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151.03</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按照有关要求，做好机关办公区房屋与附属设施的维修、维护工作；做好机关办公区绿化、美化工作；做好后勤保障和老干部管理服务工作。</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以服务领导和机关保障有力为目标，增强了优质后勤管理水平，通过加强公车管理，降低运行成本，为创建节约型机关打下了良好的基础。采取保障街道领导和机关工作办公环境的措施，提升了服务管理水平，保障了街道和机关工作的正常运转。及时了解国内外形势、党和国家的方针政策以及街道办公室的重要部署和要求，及时为老干部提供优质高效服务。</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1、综合业务管理</w:t>
            </w:r>
          </w:p>
        </w:tc>
        <w:tc>
          <w:tcPr>
            <w:tcW w:w="12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151.03</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协助街道领导组织起草或审核上报区政府以及以街道办公室名义发布的公文；办理街道各部门和下级政府报送的文电；对街道部门间出现的争议问题提出处理意见；组织起草街道领导重要讲话及其他重要文稿；组织专题调研；承办街道领导交办的其他事项。</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高质量审核公文，让县领导满意；及时办理各类文电，确保事项在第一时间得到街道批示意见；高质量起草的街道重要讲话及重要文稿。</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综合业务工作完成率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综合业务工作完成效果</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综合业务完成作用</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bl>
    <w:p>
      <w:pPr>
        <w:widowControl/>
        <w:spacing w:line="570" w:lineRule="exact"/>
        <w:jc w:val="left"/>
        <w:rPr>
          <w:rFonts w:hint="eastAsia" w:ascii="宋体" w:hAnsi="宋体" w:eastAsia="仿宋_GB2312" w:cs="宋体"/>
          <w:color w:val="000000"/>
          <w:kern w:val="0"/>
          <w:sz w:val="32"/>
          <w:szCs w:val="32"/>
        </w:rPr>
      </w:pPr>
    </w:p>
    <w:p>
      <w:pPr>
        <w:widowControl/>
        <w:spacing w:line="570" w:lineRule="exact"/>
        <w:jc w:val="left"/>
        <w:rPr>
          <w:rFonts w:hint="eastAsia" w:ascii="宋体" w:hAnsi="宋体" w:eastAsia="仿宋_GB2312" w:cs="宋体"/>
          <w:color w:val="000000"/>
          <w:kern w:val="0"/>
          <w:sz w:val="32"/>
          <w:szCs w:val="32"/>
        </w:rPr>
      </w:pPr>
    </w:p>
    <w:p>
      <w:pPr>
        <w:widowControl/>
        <w:spacing w:line="570" w:lineRule="exact"/>
        <w:jc w:val="left"/>
        <w:rPr>
          <w:rFonts w:ascii="宋体" w:hAnsi="宋体" w:eastAsia="仿宋_GB2312" w:cs="宋体"/>
          <w:color w:val="000000"/>
          <w:kern w:val="0"/>
          <w:sz w:val="32"/>
          <w:szCs w:val="32"/>
        </w:rPr>
      </w:pPr>
    </w:p>
    <w:p>
      <w:pPr>
        <w:spacing w:line="570" w:lineRule="exact"/>
        <w:outlineLvl w:val="0"/>
        <w:rPr>
          <w:rFonts w:ascii="仿宋_GB2312" w:eastAsia="仿宋_GB2312" w:cs="宋体"/>
          <w:color w:val="000000"/>
          <w:kern w:val="0"/>
          <w:sz w:val="32"/>
          <w:szCs w:val="32"/>
        </w:rPr>
      </w:pPr>
      <w:r>
        <w:rPr>
          <w:rFonts w:hint="eastAsia" w:ascii="黑体" w:eastAsia="黑体" w:cs="宋体"/>
          <w:b/>
          <w:bCs/>
          <w:color w:val="000000"/>
          <w:kern w:val="0"/>
          <w:sz w:val="32"/>
          <w:szCs w:val="32"/>
        </w:rPr>
        <w:t>六、政府采购预算情况</w:t>
      </w:r>
      <w:r>
        <w:rPr>
          <w:rFonts w:ascii="黑体" w:eastAsia="黑体" w:cs="宋体"/>
          <w:color w:val="000000"/>
          <w:kern w:val="0"/>
          <w:sz w:val="32"/>
          <w:szCs w:val="32"/>
        </w:rPr>
        <w:br w:type="textWrapping"/>
      </w:r>
      <w:r>
        <w:rPr>
          <w:rFonts w:ascii="宋体" w:hAnsi="宋体" w:eastAsia="仿宋_GB2312" w:cs="宋体"/>
          <w:color w:val="000000"/>
          <w:kern w:val="0"/>
          <w:sz w:val="32"/>
          <w:szCs w:val="32"/>
        </w:rPr>
        <w:t xml:space="preserve">   </w:t>
      </w:r>
      <w:r>
        <w:rPr>
          <w:rFonts w:ascii="仿宋_GB2312" w:eastAsia="仿宋_GB2312" w:cs="宋体"/>
          <w:color w:val="000000"/>
          <w:kern w:val="0"/>
          <w:sz w:val="32"/>
          <w:szCs w:val="32"/>
        </w:rPr>
        <w:t>2018</w:t>
      </w:r>
      <w:r>
        <w:rPr>
          <w:rFonts w:hint="eastAsia" w:ascii="仿宋_GB2312" w:eastAsia="仿宋_GB2312" w:cs="宋体"/>
          <w:color w:val="000000"/>
          <w:kern w:val="0"/>
          <w:sz w:val="32"/>
          <w:szCs w:val="32"/>
        </w:rPr>
        <w:t>年，我部门安排政府采购预算</w:t>
      </w:r>
      <w:r>
        <w:rPr>
          <w:rFonts w:ascii="仿宋_GB2312" w:eastAsia="仿宋_GB2312" w:cs="宋体"/>
          <w:color w:val="000000"/>
          <w:kern w:val="0"/>
          <w:sz w:val="32"/>
          <w:szCs w:val="32"/>
        </w:rPr>
        <w:t>0</w:t>
      </w:r>
      <w:r>
        <w:rPr>
          <w:rFonts w:hint="eastAsia" w:ascii="仿宋_GB2312" w:eastAsia="仿宋_GB2312" w:cs="宋体"/>
          <w:color w:val="000000"/>
          <w:kern w:val="0"/>
          <w:sz w:val="32"/>
          <w:szCs w:val="32"/>
        </w:rPr>
        <w:t>万元。具体内容见下表。</w:t>
      </w:r>
    </w:p>
    <w:p>
      <w:pPr>
        <w:spacing w:line="570" w:lineRule="exact"/>
        <w:jc w:val="center"/>
        <w:outlineLvl w:val="0"/>
        <w:rPr>
          <w:rFonts w:hint="eastAsia" w:ascii="仿宋_GB2312" w:eastAsia="仿宋_GB2312" w:cs="Times New Roman"/>
          <w:sz w:val="28"/>
          <w:szCs w:val="28"/>
        </w:rPr>
      </w:pPr>
    </w:p>
    <w:p>
      <w:pPr>
        <w:spacing w:line="570" w:lineRule="exact"/>
        <w:jc w:val="center"/>
        <w:outlineLvl w:val="0"/>
        <w:rPr>
          <w:rFonts w:ascii="仿宋_GB2312" w:eastAsia="仿宋_GB2312" w:cs="Times New Roman"/>
          <w:sz w:val="28"/>
          <w:szCs w:val="28"/>
        </w:rPr>
      </w:pPr>
      <w:r>
        <w:rPr>
          <w:rFonts w:hint="eastAsia" w:ascii="仿宋_GB2312" w:eastAsia="仿宋_GB2312" w:cs="Times New Roman"/>
          <w:sz w:val="28"/>
          <w:szCs w:val="28"/>
        </w:rPr>
        <w:t>部门政府采购预算</w:t>
      </w:r>
    </w:p>
    <w:tbl>
      <w:tblPr>
        <w:tblStyle w:val="4"/>
        <w:tblW w:w="137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0"/>
        <w:gridCol w:w="1013"/>
        <w:gridCol w:w="834"/>
        <w:gridCol w:w="1327"/>
        <w:gridCol w:w="834"/>
        <w:gridCol w:w="834"/>
        <w:gridCol w:w="856"/>
        <w:gridCol w:w="853"/>
        <w:gridCol w:w="853"/>
        <w:gridCol w:w="853"/>
        <w:gridCol w:w="776"/>
        <w:gridCol w:w="837"/>
        <w:gridCol w:w="837"/>
        <w:gridCol w:w="7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968" w:type="dxa"/>
            <w:gridSpan w:val="7"/>
            <w:tcBorders>
              <w:top w:val="single" w:color="FFFFFF" w:sz="6" w:space="0"/>
              <w:left w:val="single" w:color="FFFFFF" w:sz="6" w:space="0"/>
              <w:right w:val="single" w:color="FFFFFF" w:sz="6" w:space="0"/>
            </w:tcBorders>
            <w:vAlign w:val="center"/>
          </w:tcPr>
          <w:p>
            <w:pPr>
              <w:spacing w:line="570" w:lineRule="exact"/>
              <w:jc w:val="left"/>
              <w:rPr>
                <w:rFonts w:ascii="仿宋_GB2312" w:eastAsia="仿宋_GB2312" w:cs="Times New Roman"/>
                <w:sz w:val="28"/>
                <w:szCs w:val="28"/>
              </w:rPr>
            </w:pPr>
            <w:r>
              <w:rPr>
                <w:rFonts w:hint="eastAsia" w:ascii="仿宋_GB2312" w:eastAsia="仿宋_GB2312" w:cs="Times New Roman"/>
                <w:sz w:val="28"/>
                <w:szCs w:val="28"/>
              </w:rPr>
              <w:t>919-廊坊市广阳区解放道办事处</w:t>
            </w:r>
          </w:p>
        </w:tc>
        <w:tc>
          <w:tcPr>
            <w:tcW w:w="5793" w:type="dxa"/>
            <w:gridSpan w:val="7"/>
            <w:tcBorders>
              <w:top w:val="single" w:color="FFFFFF" w:sz="6" w:space="0"/>
              <w:left w:val="single" w:color="FFFFFF" w:sz="6" w:space="0"/>
              <w:right w:val="single" w:color="FFFFFF" w:sz="6" w:space="0"/>
            </w:tcBorders>
            <w:vAlign w:val="center"/>
          </w:tcPr>
          <w:p>
            <w:pPr>
              <w:spacing w:line="570" w:lineRule="exact"/>
              <w:jc w:val="right"/>
              <w:rPr>
                <w:rFonts w:ascii="仿宋_GB2312" w:eastAsia="仿宋_GB2312" w:cs="Times New Roman"/>
                <w:sz w:val="28"/>
                <w:szCs w:val="28"/>
              </w:rPr>
            </w:pPr>
            <w:r>
              <w:rPr>
                <w:rFonts w:hint="eastAsia" w:ascii="仿宋_GB2312" w:eastAsia="仿宋_GB2312" w:cs="Times New Roman"/>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283" w:type="dxa"/>
            <w:gridSpan w:val="2"/>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政府采购项目来源</w:t>
            </w:r>
          </w:p>
        </w:tc>
        <w:tc>
          <w:tcPr>
            <w:tcW w:w="834"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采购物品名称</w:t>
            </w:r>
          </w:p>
        </w:tc>
        <w:tc>
          <w:tcPr>
            <w:tcW w:w="1327"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政府采购目录序号</w:t>
            </w:r>
          </w:p>
        </w:tc>
        <w:tc>
          <w:tcPr>
            <w:tcW w:w="834"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数量</w:t>
            </w:r>
            <w:r>
              <w:rPr>
                <w:rFonts w:ascii="仿宋_GB2312" w:eastAsia="仿宋_GB2312" w:cs="Times New Roman"/>
                <w:b/>
                <w:sz w:val="28"/>
                <w:szCs w:val="28"/>
              </w:rPr>
              <w:t xml:space="preserve">  </w:t>
            </w:r>
            <w:r>
              <w:rPr>
                <w:rFonts w:hint="eastAsia" w:ascii="仿宋_GB2312" w:eastAsia="仿宋_GB2312" w:cs="Times New Roman"/>
                <w:b/>
                <w:sz w:val="28"/>
                <w:szCs w:val="28"/>
              </w:rPr>
              <w:t>单位</w:t>
            </w:r>
          </w:p>
        </w:tc>
        <w:tc>
          <w:tcPr>
            <w:tcW w:w="834"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数量</w:t>
            </w:r>
          </w:p>
        </w:tc>
        <w:tc>
          <w:tcPr>
            <w:tcW w:w="856"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单价</w:t>
            </w:r>
          </w:p>
        </w:tc>
        <w:tc>
          <w:tcPr>
            <w:tcW w:w="5793" w:type="dxa"/>
            <w:gridSpan w:val="7"/>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70"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项目名称</w:t>
            </w:r>
          </w:p>
        </w:tc>
        <w:tc>
          <w:tcPr>
            <w:tcW w:w="1013"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预算资金</w:t>
            </w:r>
          </w:p>
        </w:tc>
        <w:tc>
          <w:tcPr>
            <w:tcW w:w="834" w:type="dxa"/>
            <w:vMerge w:val="continue"/>
            <w:vAlign w:val="center"/>
          </w:tcPr>
          <w:p/>
        </w:tc>
        <w:tc>
          <w:tcPr>
            <w:tcW w:w="1327" w:type="dxa"/>
            <w:vMerge w:val="continue"/>
            <w:vAlign w:val="center"/>
          </w:tcPr>
          <w:p/>
        </w:tc>
        <w:tc>
          <w:tcPr>
            <w:tcW w:w="834" w:type="dxa"/>
            <w:vMerge w:val="continue"/>
            <w:vAlign w:val="center"/>
          </w:tcPr>
          <w:p/>
        </w:tc>
        <w:tc>
          <w:tcPr>
            <w:tcW w:w="834" w:type="dxa"/>
            <w:vMerge w:val="continue"/>
            <w:vAlign w:val="center"/>
          </w:tcPr>
          <w:p/>
        </w:tc>
        <w:tc>
          <w:tcPr>
            <w:tcW w:w="856" w:type="dxa"/>
            <w:vMerge w:val="continue"/>
            <w:vAlign w:val="center"/>
          </w:tcPr>
          <w:p/>
        </w:tc>
        <w:tc>
          <w:tcPr>
            <w:tcW w:w="853"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总计</w:t>
            </w:r>
          </w:p>
        </w:tc>
        <w:tc>
          <w:tcPr>
            <w:tcW w:w="4156" w:type="dxa"/>
            <w:gridSpan w:val="5"/>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当年部门预算安排资金</w:t>
            </w:r>
          </w:p>
        </w:tc>
        <w:tc>
          <w:tcPr>
            <w:tcW w:w="784"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270" w:type="dxa"/>
            <w:vMerge w:val="continue"/>
            <w:vAlign w:val="center"/>
          </w:tcPr>
          <w:p/>
        </w:tc>
        <w:tc>
          <w:tcPr>
            <w:tcW w:w="1013" w:type="dxa"/>
            <w:vMerge w:val="continue"/>
            <w:vAlign w:val="center"/>
          </w:tcPr>
          <w:p/>
        </w:tc>
        <w:tc>
          <w:tcPr>
            <w:tcW w:w="834" w:type="dxa"/>
            <w:vMerge w:val="continue"/>
            <w:vAlign w:val="center"/>
          </w:tcPr>
          <w:p/>
        </w:tc>
        <w:tc>
          <w:tcPr>
            <w:tcW w:w="1327" w:type="dxa"/>
            <w:vMerge w:val="continue"/>
            <w:vAlign w:val="center"/>
          </w:tcPr>
          <w:p/>
        </w:tc>
        <w:tc>
          <w:tcPr>
            <w:tcW w:w="834" w:type="dxa"/>
            <w:vMerge w:val="continue"/>
            <w:vAlign w:val="center"/>
          </w:tcPr>
          <w:p/>
        </w:tc>
        <w:tc>
          <w:tcPr>
            <w:tcW w:w="834" w:type="dxa"/>
            <w:vMerge w:val="continue"/>
            <w:vAlign w:val="center"/>
          </w:tcPr>
          <w:p/>
        </w:tc>
        <w:tc>
          <w:tcPr>
            <w:tcW w:w="856" w:type="dxa"/>
            <w:vMerge w:val="continue"/>
            <w:vAlign w:val="center"/>
          </w:tcPr>
          <w:p/>
        </w:tc>
        <w:tc>
          <w:tcPr>
            <w:tcW w:w="853" w:type="dxa"/>
            <w:vMerge w:val="continue"/>
            <w:vAlign w:val="center"/>
          </w:tcPr>
          <w:p/>
        </w:tc>
        <w:tc>
          <w:tcPr>
            <w:tcW w:w="853" w:type="dxa"/>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合计</w:t>
            </w:r>
          </w:p>
        </w:tc>
        <w:tc>
          <w:tcPr>
            <w:tcW w:w="853" w:type="dxa"/>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一般公共预算拨款</w:t>
            </w:r>
          </w:p>
        </w:tc>
        <w:tc>
          <w:tcPr>
            <w:tcW w:w="776" w:type="dxa"/>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基金预算拨款</w:t>
            </w:r>
          </w:p>
        </w:tc>
        <w:tc>
          <w:tcPr>
            <w:tcW w:w="837" w:type="dxa"/>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财政专户核拨</w:t>
            </w:r>
          </w:p>
        </w:tc>
        <w:tc>
          <w:tcPr>
            <w:tcW w:w="837" w:type="dxa"/>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其他来源收入</w:t>
            </w:r>
          </w:p>
        </w:tc>
        <w:tc>
          <w:tcPr>
            <w:tcW w:w="784"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0" w:type="dxa"/>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合　计</w:t>
            </w:r>
          </w:p>
        </w:tc>
        <w:tc>
          <w:tcPr>
            <w:tcW w:w="1013" w:type="dxa"/>
            <w:vAlign w:val="center"/>
          </w:tcPr>
          <w:p>
            <w:pPr>
              <w:spacing w:line="570" w:lineRule="exact"/>
              <w:jc w:val="center"/>
              <w:rPr>
                <w:rFonts w:ascii="仿宋_GB2312" w:eastAsia="仿宋_GB2312" w:cs="Times New Roman"/>
                <w:b/>
                <w:sz w:val="28"/>
                <w:szCs w:val="28"/>
              </w:rPr>
            </w:pPr>
          </w:p>
        </w:tc>
        <w:tc>
          <w:tcPr>
            <w:tcW w:w="834" w:type="dxa"/>
            <w:vAlign w:val="center"/>
          </w:tcPr>
          <w:p>
            <w:pPr>
              <w:spacing w:line="570" w:lineRule="exact"/>
              <w:jc w:val="center"/>
              <w:rPr>
                <w:rFonts w:ascii="仿宋_GB2312" w:eastAsia="仿宋_GB2312" w:cs="Times New Roman"/>
                <w:b/>
                <w:sz w:val="28"/>
                <w:szCs w:val="28"/>
              </w:rPr>
            </w:pPr>
          </w:p>
        </w:tc>
        <w:tc>
          <w:tcPr>
            <w:tcW w:w="1327" w:type="dxa"/>
            <w:vAlign w:val="center"/>
          </w:tcPr>
          <w:p>
            <w:pPr>
              <w:spacing w:line="570" w:lineRule="exact"/>
              <w:jc w:val="center"/>
              <w:rPr>
                <w:rFonts w:ascii="仿宋_GB2312" w:eastAsia="仿宋_GB2312" w:cs="Times New Roman"/>
                <w:b/>
                <w:sz w:val="28"/>
                <w:szCs w:val="28"/>
              </w:rPr>
            </w:pPr>
          </w:p>
        </w:tc>
        <w:tc>
          <w:tcPr>
            <w:tcW w:w="834" w:type="dxa"/>
            <w:vAlign w:val="center"/>
          </w:tcPr>
          <w:p>
            <w:pPr>
              <w:spacing w:line="570" w:lineRule="exact"/>
              <w:jc w:val="center"/>
              <w:rPr>
                <w:rFonts w:ascii="仿宋_GB2312" w:eastAsia="仿宋_GB2312" w:cs="Times New Roman"/>
                <w:b/>
                <w:sz w:val="28"/>
                <w:szCs w:val="28"/>
              </w:rPr>
            </w:pPr>
          </w:p>
        </w:tc>
        <w:tc>
          <w:tcPr>
            <w:tcW w:w="834" w:type="dxa"/>
            <w:vAlign w:val="center"/>
          </w:tcPr>
          <w:p>
            <w:pPr>
              <w:spacing w:line="570" w:lineRule="exact"/>
              <w:jc w:val="center"/>
              <w:rPr>
                <w:rFonts w:ascii="仿宋_GB2312" w:eastAsia="仿宋_GB2312" w:cs="Times New Roman"/>
                <w:b/>
                <w:sz w:val="28"/>
                <w:szCs w:val="28"/>
              </w:rPr>
            </w:pPr>
          </w:p>
        </w:tc>
        <w:tc>
          <w:tcPr>
            <w:tcW w:w="856" w:type="dxa"/>
            <w:vAlign w:val="center"/>
          </w:tcPr>
          <w:p>
            <w:pPr>
              <w:spacing w:line="570" w:lineRule="exact"/>
              <w:jc w:val="center"/>
              <w:rPr>
                <w:rFonts w:ascii="仿宋_GB2312" w:eastAsia="仿宋_GB2312" w:cs="Times New Roman"/>
                <w:b/>
                <w:sz w:val="28"/>
                <w:szCs w:val="28"/>
              </w:rPr>
            </w:pPr>
          </w:p>
        </w:tc>
        <w:tc>
          <w:tcPr>
            <w:tcW w:w="853" w:type="dxa"/>
            <w:vAlign w:val="center"/>
          </w:tcPr>
          <w:p>
            <w:pPr>
              <w:spacing w:line="570" w:lineRule="exact"/>
              <w:jc w:val="center"/>
              <w:rPr>
                <w:rFonts w:ascii="仿宋_GB2312" w:eastAsia="仿宋_GB2312" w:cs="Times New Roman"/>
                <w:b/>
                <w:sz w:val="28"/>
                <w:szCs w:val="28"/>
              </w:rPr>
            </w:pPr>
          </w:p>
        </w:tc>
        <w:tc>
          <w:tcPr>
            <w:tcW w:w="853" w:type="dxa"/>
            <w:vAlign w:val="center"/>
          </w:tcPr>
          <w:p>
            <w:pPr>
              <w:spacing w:line="570" w:lineRule="exact"/>
              <w:jc w:val="center"/>
              <w:rPr>
                <w:rFonts w:ascii="仿宋_GB2312" w:eastAsia="仿宋_GB2312" w:cs="Times New Roman"/>
                <w:b/>
                <w:sz w:val="28"/>
                <w:szCs w:val="28"/>
              </w:rPr>
            </w:pPr>
          </w:p>
        </w:tc>
        <w:tc>
          <w:tcPr>
            <w:tcW w:w="853" w:type="dxa"/>
            <w:vAlign w:val="center"/>
          </w:tcPr>
          <w:p>
            <w:pPr>
              <w:spacing w:line="570" w:lineRule="exact"/>
              <w:jc w:val="center"/>
              <w:rPr>
                <w:rFonts w:ascii="仿宋_GB2312" w:eastAsia="仿宋_GB2312" w:cs="Times New Roman"/>
                <w:b/>
                <w:sz w:val="28"/>
                <w:szCs w:val="28"/>
              </w:rPr>
            </w:pPr>
          </w:p>
        </w:tc>
        <w:tc>
          <w:tcPr>
            <w:tcW w:w="776" w:type="dxa"/>
            <w:vAlign w:val="center"/>
          </w:tcPr>
          <w:p>
            <w:pPr>
              <w:spacing w:line="570" w:lineRule="exact"/>
              <w:jc w:val="center"/>
              <w:rPr>
                <w:rFonts w:ascii="仿宋_GB2312" w:eastAsia="仿宋_GB2312" w:cs="Times New Roman"/>
                <w:b/>
                <w:sz w:val="28"/>
                <w:szCs w:val="28"/>
              </w:rPr>
            </w:pPr>
          </w:p>
        </w:tc>
        <w:tc>
          <w:tcPr>
            <w:tcW w:w="837" w:type="dxa"/>
            <w:vAlign w:val="center"/>
          </w:tcPr>
          <w:p>
            <w:pPr>
              <w:spacing w:line="570" w:lineRule="exact"/>
              <w:jc w:val="center"/>
              <w:rPr>
                <w:rFonts w:ascii="仿宋_GB2312" w:eastAsia="仿宋_GB2312" w:cs="Times New Roman"/>
                <w:b/>
                <w:sz w:val="28"/>
                <w:szCs w:val="28"/>
              </w:rPr>
            </w:pPr>
          </w:p>
        </w:tc>
        <w:tc>
          <w:tcPr>
            <w:tcW w:w="837" w:type="dxa"/>
            <w:vAlign w:val="center"/>
          </w:tcPr>
          <w:p>
            <w:pPr>
              <w:spacing w:line="570" w:lineRule="exact"/>
              <w:jc w:val="center"/>
              <w:rPr>
                <w:rFonts w:ascii="仿宋_GB2312" w:eastAsia="仿宋_GB2312" w:cs="Times New Roman"/>
                <w:b/>
                <w:sz w:val="28"/>
                <w:szCs w:val="28"/>
              </w:rPr>
            </w:pPr>
          </w:p>
        </w:tc>
        <w:tc>
          <w:tcPr>
            <w:tcW w:w="784" w:type="dxa"/>
            <w:vAlign w:val="center"/>
          </w:tcPr>
          <w:p>
            <w:pPr>
              <w:spacing w:line="570" w:lineRule="exact"/>
              <w:jc w:val="center"/>
              <w:rPr>
                <w:rFonts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0" w:type="dxa"/>
            <w:vAlign w:val="center"/>
          </w:tcPr>
          <w:p>
            <w:pPr>
              <w:spacing w:line="570" w:lineRule="exact"/>
              <w:jc w:val="center"/>
              <w:rPr>
                <w:rFonts w:ascii="仿宋_GB2312" w:eastAsia="仿宋_GB2312" w:cs="Times New Roman"/>
                <w:b/>
                <w:sz w:val="28"/>
                <w:szCs w:val="28"/>
              </w:rPr>
            </w:pPr>
          </w:p>
        </w:tc>
        <w:tc>
          <w:tcPr>
            <w:tcW w:w="1013" w:type="dxa"/>
            <w:vAlign w:val="center"/>
          </w:tcPr>
          <w:p>
            <w:pPr>
              <w:spacing w:line="570" w:lineRule="exact"/>
              <w:jc w:val="center"/>
              <w:rPr>
                <w:rFonts w:ascii="仿宋_GB2312" w:eastAsia="仿宋_GB2312" w:cs="Times New Roman"/>
                <w:b/>
                <w:sz w:val="28"/>
                <w:szCs w:val="28"/>
              </w:rPr>
            </w:pPr>
          </w:p>
        </w:tc>
        <w:tc>
          <w:tcPr>
            <w:tcW w:w="834" w:type="dxa"/>
            <w:vAlign w:val="center"/>
          </w:tcPr>
          <w:p>
            <w:pPr>
              <w:spacing w:line="570" w:lineRule="exact"/>
              <w:jc w:val="center"/>
              <w:rPr>
                <w:rFonts w:ascii="仿宋_GB2312" w:eastAsia="仿宋_GB2312" w:cs="Times New Roman"/>
                <w:b/>
                <w:sz w:val="28"/>
                <w:szCs w:val="28"/>
              </w:rPr>
            </w:pPr>
          </w:p>
        </w:tc>
        <w:tc>
          <w:tcPr>
            <w:tcW w:w="1327" w:type="dxa"/>
            <w:vAlign w:val="center"/>
          </w:tcPr>
          <w:p>
            <w:pPr>
              <w:spacing w:line="570" w:lineRule="exact"/>
              <w:jc w:val="center"/>
              <w:rPr>
                <w:rFonts w:ascii="仿宋_GB2312" w:eastAsia="仿宋_GB2312" w:cs="Times New Roman"/>
                <w:b/>
                <w:sz w:val="28"/>
                <w:szCs w:val="28"/>
              </w:rPr>
            </w:pPr>
          </w:p>
        </w:tc>
        <w:tc>
          <w:tcPr>
            <w:tcW w:w="834" w:type="dxa"/>
            <w:vAlign w:val="center"/>
          </w:tcPr>
          <w:p>
            <w:pPr>
              <w:spacing w:line="570" w:lineRule="exact"/>
              <w:jc w:val="center"/>
              <w:rPr>
                <w:rFonts w:ascii="仿宋_GB2312" w:eastAsia="仿宋_GB2312" w:cs="Times New Roman"/>
                <w:b/>
                <w:sz w:val="28"/>
                <w:szCs w:val="28"/>
              </w:rPr>
            </w:pPr>
          </w:p>
        </w:tc>
        <w:tc>
          <w:tcPr>
            <w:tcW w:w="834" w:type="dxa"/>
            <w:vAlign w:val="center"/>
          </w:tcPr>
          <w:p>
            <w:pPr>
              <w:spacing w:line="570" w:lineRule="exact"/>
              <w:jc w:val="center"/>
              <w:rPr>
                <w:rFonts w:ascii="仿宋_GB2312" w:eastAsia="仿宋_GB2312" w:cs="Times New Roman"/>
                <w:b/>
                <w:sz w:val="28"/>
                <w:szCs w:val="28"/>
              </w:rPr>
            </w:pPr>
          </w:p>
        </w:tc>
        <w:tc>
          <w:tcPr>
            <w:tcW w:w="856" w:type="dxa"/>
            <w:vAlign w:val="center"/>
          </w:tcPr>
          <w:p>
            <w:pPr>
              <w:spacing w:line="570" w:lineRule="exact"/>
              <w:jc w:val="center"/>
              <w:rPr>
                <w:rFonts w:ascii="仿宋_GB2312" w:eastAsia="仿宋_GB2312" w:cs="Times New Roman"/>
                <w:b/>
                <w:sz w:val="28"/>
                <w:szCs w:val="28"/>
              </w:rPr>
            </w:pPr>
          </w:p>
        </w:tc>
        <w:tc>
          <w:tcPr>
            <w:tcW w:w="853" w:type="dxa"/>
            <w:vAlign w:val="center"/>
          </w:tcPr>
          <w:p>
            <w:pPr>
              <w:spacing w:line="570" w:lineRule="exact"/>
              <w:jc w:val="center"/>
              <w:rPr>
                <w:rFonts w:ascii="仿宋_GB2312" w:eastAsia="仿宋_GB2312" w:cs="Times New Roman"/>
                <w:b/>
                <w:sz w:val="28"/>
                <w:szCs w:val="28"/>
              </w:rPr>
            </w:pPr>
          </w:p>
        </w:tc>
        <w:tc>
          <w:tcPr>
            <w:tcW w:w="853" w:type="dxa"/>
            <w:vAlign w:val="center"/>
          </w:tcPr>
          <w:p>
            <w:pPr>
              <w:spacing w:line="570" w:lineRule="exact"/>
              <w:jc w:val="center"/>
              <w:rPr>
                <w:rFonts w:ascii="仿宋_GB2312" w:eastAsia="仿宋_GB2312" w:cs="Times New Roman"/>
                <w:b/>
                <w:sz w:val="28"/>
                <w:szCs w:val="28"/>
              </w:rPr>
            </w:pPr>
          </w:p>
        </w:tc>
        <w:tc>
          <w:tcPr>
            <w:tcW w:w="853" w:type="dxa"/>
            <w:vAlign w:val="center"/>
          </w:tcPr>
          <w:p>
            <w:pPr>
              <w:spacing w:line="570" w:lineRule="exact"/>
              <w:jc w:val="center"/>
              <w:rPr>
                <w:rFonts w:ascii="仿宋_GB2312" w:eastAsia="仿宋_GB2312" w:cs="Times New Roman"/>
                <w:b/>
                <w:sz w:val="28"/>
                <w:szCs w:val="28"/>
              </w:rPr>
            </w:pPr>
          </w:p>
        </w:tc>
        <w:tc>
          <w:tcPr>
            <w:tcW w:w="776" w:type="dxa"/>
            <w:vAlign w:val="center"/>
          </w:tcPr>
          <w:p>
            <w:pPr>
              <w:spacing w:line="570" w:lineRule="exact"/>
              <w:jc w:val="center"/>
              <w:rPr>
                <w:rFonts w:ascii="仿宋_GB2312" w:eastAsia="仿宋_GB2312" w:cs="Times New Roman"/>
                <w:b/>
                <w:sz w:val="28"/>
                <w:szCs w:val="28"/>
              </w:rPr>
            </w:pPr>
          </w:p>
        </w:tc>
        <w:tc>
          <w:tcPr>
            <w:tcW w:w="837" w:type="dxa"/>
            <w:vAlign w:val="center"/>
          </w:tcPr>
          <w:p>
            <w:pPr>
              <w:spacing w:line="570" w:lineRule="exact"/>
              <w:jc w:val="center"/>
              <w:rPr>
                <w:rFonts w:ascii="仿宋_GB2312" w:eastAsia="仿宋_GB2312" w:cs="Times New Roman"/>
                <w:b/>
                <w:sz w:val="28"/>
                <w:szCs w:val="28"/>
              </w:rPr>
            </w:pPr>
          </w:p>
        </w:tc>
        <w:tc>
          <w:tcPr>
            <w:tcW w:w="837" w:type="dxa"/>
            <w:vAlign w:val="center"/>
          </w:tcPr>
          <w:p>
            <w:pPr>
              <w:spacing w:line="570" w:lineRule="exact"/>
              <w:jc w:val="center"/>
              <w:rPr>
                <w:rFonts w:ascii="仿宋_GB2312" w:eastAsia="仿宋_GB2312" w:cs="Times New Roman"/>
                <w:b/>
                <w:sz w:val="28"/>
                <w:szCs w:val="28"/>
              </w:rPr>
            </w:pPr>
          </w:p>
        </w:tc>
        <w:tc>
          <w:tcPr>
            <w:tcW w:w="784" w:type="dxa"/>
            <w:vAlign w:val="center"/>
          </w:tcPr>
          <w:p>
            <w:pPr>
              <w:spacing w:line="570" w:lineRule="exact"/>
              <w:jc w:val="center"/>
              <w:rPr>
                <w:rFonts w:ascii="仿宋_GB2312" w:eastAsia="仿宋_GB2312" w:cs="Times New Roman"/>
                <w:b/>
                <w:sz w:val="28"/>
                <w:szCs w:val="28"/>
              </w:rPr>
            </w:pPr>
          </w:p>
        </w:tc>
      </w:tr>
    </w:tbl>
    <w:p>
      <w:pPr>
        <w:widowControl/>
        <w:spacing w:line="570" w:lineRule="exact"/>
        <w:jc w:val="left"/>
        <w:rPr>
          <w:rFonts w:hint="eastAsia" w:ascii="黑体" w:eastAsia="黑体" w:cs="宋体"/>
          <w:b/>
          <w:bCs/>
          <w:color w:val="000000"/>
          <w:kern w:val="0"/>
          <w:sz w:val="32"/>
          <w:szCs w:val="32"/>
        </w:rPr>
      </w:pPr>
    </w:p>
    <w:p>
      <w:pPr>
        <w:widowControl/>
        <w:spacing w:line="570" w:lineRule="exact"/>
        <w:jc w:val="left"/>
        <w:rPr>
          <w:rFonts w:ascii="仿宋_GB2312" w:eastAsia="仿宋_GB2312" w:cs="宋体"/>
          <w:b/>
          <w:bCs/>
          <w:color w:val="000000"/>
          <w:kern w:val="0"/>
          <w:sz w:val="32"/>
          <w:szCs w:val="32"/>
        </w:rPr>
      </w:pPr>
      <w:r>
        <w:rPr>
          <w:rFonts w:hint="eastAsia" w:ascii="黑体" w:eastAsia="黑体" w:cs="宋体"/>
          <w:b/>
          <w:bCs/>
          <w:color w:val="000000"/>
          <w:kern w:val="0"/>
          <w:sz w:val="32"/>
          <w:szCs w:val="32"/>
        </w:rPr>
        <w:br w:type="page"/>
      </w:r>
      <w:r>
        <w:rPr>
          <w:rFonts w:hint="eastAsia" w:ascii="黑体" w:eastAsia="黑体" w:cs="宋体"/>
          <w:b/>
          <w:bCs/>
          <w:color w:val="000000"/>
          <w:kern w:val="0"/>
          <w:sz w:val="32"/>
          <w:szCs w:val="32"/>
        </w:rPr>
        <w:t>七、国有资产信息</w:t>
      </w:r>
      <w:r>
        <w:rPr>
          <w:rFonts w:ascii="黑体" w:eastAsia="黑体" w:cs="宋体"/>
          <w:color w:val="000000"/>
          <w:kern w:val="0"/>
          <w:sz w:val="32"/>
          <w:szCs w:val="32"/>
        </w:rPr>
        <w:br w:type="textWrapping"/>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广阳区解放道街道办事处</w:t>
      </w:r>
      <w:r>
        <w:rPr>
          <w:rFonts w:ascii="Times New Roman" w:hAnsi="Times New Roman" w:eastAsia="仿宋_GB2312" w:cs="Times New Roman"/>
          <w:sz w:val="32"/>
          <w:szCs w:val="32"/>
        </w:rPr>
        <w:t>（含所属单位）</w:t>
      </w:r>
      <w:r>
        <w:rPr>
          <w:rFonts w:hint="eastAsia" w:ascii="仿宋_GB2312" w:eastAsia="仿宋_GB2312" w:cs="宋体"/>
          <w:color w:val="000000"/>
          <w:kern w:val="0"/>
          <w:sz w:val="32"/>
          <w:szCs w:val="32"/>
        </w:rPr>
        <w:t>上年末固定资产金额为</w:t>
      </w:r>
      <w:r>
        <w:rPr>
          <w:rFonts w:ascii="仿宋_GB2312" w:eastAsia="仿宋_GB2312" w:cs="宋体"/>
          <w:color w:val="000000"/>
          <w:kern w:val="0"/>
          <w:sz w:val="32"/>
          <w:szCs w:val="32"/>
        </w:rPr>
        <w:t>628.59</w:t>
      </w:r>
      <w:r>
        <w:rPr>
          <w:rFonts w:hint="eastAsia" w:ascii="仿宋_GB2312" w:eastAsia="仿宋_GB2312" w:cs="宋体"/>
          <w:color w:val="000000"/>
          <w:kern w:val="0"/>
          <w:sz w:val="32"/>
          <w:szCs w:val="32"/>
        </w:rPr>
        <w:t>万元，我部门本年度无拟购置固定资产，详见下表。</w:t>
      </w:r>
    </w:p>
    <w:tbl>
      <w:tblPr>
        <w:tblStyle w:val="4"/>
        <w:tblW w:w="10400" w:type="dxa"/>
        <w:jc w:val="center"/>
        <w:tblCellSpacing w:w="0" w:type="dxa"/>
        <w:tblLayout w:type="fixed"/>
        <w:tblCellMar>
          <w:top w:w="0" w:type="dxa"/>
          <w:left w:w="0" w:type="dxa"/>
          <w:bottom w:w="0" w:type="dxa"/>
          <w:right w:w="0" w:type="dxa"/>
        </w:tblCellMar>
      </w:tblPr>
      <w:tblGrid>
        <w:gridCol w:w="4025"/>
        <w:gridCol w:w="2585"/>
        <w:gridCol w:w="3790"/>
      </w:tblGrid>
      <w:tr>
        <w:tblPrEx>
          <w:tblCellMar>
            <w:top w:w="0" w:type="dxa"/>
            <w:left w:w="0" w:type="dxa"/>
            <w:bottom w:w="0" w:type="dxa"/>
            <w:right w:w="0" w:type="dxa"/>
          </w:tblCellMar>
        </w:tblPrEx>
        <w:trPr>
          <w:trHeight w:val="705" w:hRule="atLeast"/>
          <w:tblCellSpacing w:w="0" w:type="dxa"/>
          <w:jc w:val="center"/>
        </w:trPr>
        <w:tc>
          <w:tcPr>
            <w:tcW w:w="10400" w:type="dxa"/>
            <w:gridSpan w:val="3"/>
            <w:vAlign w:val="center"/>
          </w:tcPr>
          <w:p>
            <w:pPr>
              <w:widowControl/>
              <w:spacing w:line="570" w:lineRule="exact"/>
              <w:jc w:val="center"/>
              <w:rPr>
                <w:rFonts w:ascii="仿宋_GB2312" w:eastAsia="仿宋_GB2312" w:cs="宋体"/>
                <w:kern w:val="0"/>
                <w:sz w:val="28"/>
                <w:szCs w:val="28"/>
              </w:rPr>
            </w:pPr>
            <w:r>
              <w:rPr>
                <w:rFonts w:ascii="宋体" w:hAnsi="宋体" w:eastAsia="仿宋_GB2312" w:cs="宋体"/>
                <w:kern w:val="0"/>
                <w:sz w:val="28"/>
                <w:szCs w:val="28"/>
              </w:rPr>
              <w:t> </w:t>
            </w:r>
            <w:r>
              <w:rPr>
                <w:rFonts w:hint="eastAsia" w:ascii="仿宋_GB2312" w:eastAsia="仿宋_GB2312" w:cs="宋体"/>
                <w:b/>
                <w:bCs/>
                <w:kern w:val="0"/>
                <w:sz w:val="28"/>
                <w:szCs w:val="28"/>
              </w:rPr>
              <w:t>廊坊市广阳区预算部门固定资产占用情况表</w:t>
            </w:r>
          </w:p>
        </w:tc>
      </w:tr>
      <w:tr>
        <w:tblPrEx>
          <w:tblCellMar>
            <w:top w:w="0" w:type="dxa"/>
            <w:left w:w="0" w:type="dxa"/>
            <w:bottom w:w="0" w:type="dxa"/>
            <w:right w:w="0" w:type="dxa"/>
          </w:tblCellMar>
        </w:tblPrEx>
        <w:trPr>
          <w:trHeight w:val="510" w:hRule="atLeast"/>
          <w:tblCellSpacing w:w="0" w:type="dxa"/>
          <w:jc w:val="center"/>
        </w:trPr>
        <w:tc>
          <w:tcPr>
            <w:tcW w:w="6610" w:type="dxa"/>
            <w:gridSpan w:val="2"/>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编制部门：919-</w:t>
            </w:r>
            <w:r>
              <w:rPr>
                <w:rFonts w:hint="eastAsia" w:ascii="仿宋_GB2312" w:eastAsia="仿宋_GB2312" w:cs="宋体"/>
                <w:b/>
                <w:bCs/>
                <w:kern w:val="0"/>
                <w:sz w:val="28"/>
                <w:szCs w:val="28"/>
              </w:rPr>
              <w:t>廊坊市广阳区解放道街道办事处</w:t>
            </w:r>
          </w:p>
        </w:tc>
        <w:tc>
          <w:tcPr>
            <w:tcW w:w="3790" w:type="dxa"/>
            <w:vAlign w:val="center"/>
          </w:tcPr>
          <w:p>
            <w:pPr>
              <w:widowControl/>
              <w:spacing w:line="570" w:lineRule="exact"/>
              <w:jc w:val="center"/>
              <w:rPr>
                <w:rFonts w:ascii="宋体" w:hAnsi="宋体" w:eastAsia="仿宋_GB2312" w:cs="宋体"/>
                <w:kern w:val="0"/>
                <w:sz w:val="28"/>
                <w:szCs w:val="28"/>
              </w:rPr>
            </w:pPr>
            <w:r>
              <w:rPr>
                <w:rFonts w:hint="eastAsia" w:ascii="仿宋_GB2312" w:eastAsia="仿宋_GB2312" w:cs="宋体"/>
                <w:kern w:val="0"/>
                <w:sz w:val="28"/>
                <w:szCs w:val="28"/>
              </w:rPr>
              <w:t>截止时间：</w:t>
            </w:r>
            <w:r>
              <w:rPr>
                <w:rFonts w:ascii="仿宋_GB2312" w:eastAsia="仿宋_GB2312" w:cs="宋体"/>
                <w:kern w:val="0"/>
                <w:sz w:val="28"/>
                <w:szCs w:val="28"/>
              </w:rPr>
              <w:t>2017</w:t>
            </w:r>
            <w:r>
              <w:rPr>
                <w:rFonts w:hint="eastAsia" w:ascii="仿宋_GB2312" w:eastAsia="仿宋_GB2312" w:cs="宋体"/>
                <w:kern w:val="0"/>
                <w:sz w:val="28"/>
                <w:szCs w:val="28"/>
              </w:rPr>
              <w:t>年</w:t>
            </w:r>
            <w:r>
              <w:rPr>
                <w:rFonts w:ascii="仿宋_GB2312" w:eastAsia="仿宋_GB2312" w:cs="宋体"/>
                <w:kern w:val="0"/>
                <w:sz w:val="28"/>
                <w:szCs w:val="28"/>
              </w:rPr>
              <w:t>12</w:t>
            </w:r>
            <w:r>
              <w:rPr>
                <w:rFonts w:hint="eastAsia" w:ascii="仿宋_GB2312" w:eastAsia="仿宋_GB2312" w:cs="宋体"/>
                <w:kern w:val="0"/>
                <w:sz w:val="28"/>
                <w:szCs w:val="28"/>
              </w:rPr>
              <w:t>月</w:t>
            </w:r>
            <w:r>
              <w:rPr>
                <w:rFonts w:ascii="仿宋_GB2312" w:eastAsia="仿宋_GB2312" w:cs="宋体"/>
                <w:kern w:val="0"/>
                <w:sz w:val="28"/>
                <w:szCs w:val="28"/>
              </w:rPr>
              <w:t>31</w:t>
            </w:r>
            <w:r>
              <w:rPr>
                <w:rFonts w:hint="eastAsia" w:ascii="仿宋_GB2312" w:eastAsia="仿宋_GB2312" w:cs="宋体"/>
                <w:kern w:val="0"/>
                <w:sz w:val="28"/>
                <w:szCs w:val="28"/>
              </w:rPr>
              <w:t>日</w:t>
            </w:r>
            <w:r>
              <w:rPr>
                <w:rFonts w:ascii="宋体" w:hAnsi="宋体" w:eastAsia="仿宋_GB2312" w:cs="宋体"/>
                <w:kern w:val="0"/>
                <w:sz w:val="28"/>
                <w:szCs w:val="28"/>
              </w:rPr>
              <w:t> </w:t>
            </w:r>
          </w:p>
        </w:tc>
      </w:tr>
      <w:tr>
        <w:tblPrEx>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b/>
                <w:bCs/>
                <w:kern w:val="0"/>
                <w:sz w:val="28"/>
                <w:szCs w:val="28"/>
              </w:rPr>
              <w:t>项</w:t>
            </w:r>
            <w:r>
              <w:rPr>
                <w:rFonts w:ascii="宋体" w:hAnsi="宋体" w:eastAsia="仿宋_GB2312" w:cs="宋体"/>
                <w:b/>
                <w:bCs/>
                <w:kern w:val="0"/>
                <w:sz w:val="28"/>
                <w:szCs w:val="28"/>
              </w:rPr>
              <w:t xml:space="preserve">   </w:t>
            </w:r>
            <w:r>
              <w:rPr>
                <w:rFonts w:hint="eastAsia" w:ascii="仿宋_GB2312" w:eastAsia="仿宋_GB2312" w:cs="宋体"/>
                <w:b/>
                <w:bCs/>
                <w:kern w:val="0"/>
                <w:sz w:val="28"/>
                <w:szCs w:val="28"/>
              </w:rPr>
              <w:t>目</w:t>
            </w:r>
          </w:p>
        </w:tc>
        <w:tc>
          <w:tcPr>
            <w:tcW w:w="258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b/>
                <w:bCs/>
                <w:kern w:val="0"/>
                <w:sz w:val="28"/>
                <w:szCs w:val="28"/>
              </w:rPr>
              <w:t>数量</w:t>
            </w:r>
          </w:p>
        </w:tc>
        <w:tc>
          <w:tcPr>
            <w:tcW w:w="379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b/>
                <w:bCs/>
                <w:kern w:val="0"/>
                <w:sz w:val="28"/>
                <w:szCs w:val="28"/>
              </w:rPr>
              <w:t>价值（金额单位：万元）</w:t>
            </w:r>
          </w:p>
        </w:tc>
      </w:tr>
      <w:tr>
        <w:tblPrEx>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资产总额</w:t>
            </w:r>
          </w:p>
        </w:tc>
        <w:tc>
          <w:tcPr>
            <w:tcW w:w="258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p>
        </w:tc>
        <w:tc>
          <w:tcPr>
            <w:tcW w:w="379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eastAsia" w:ascii="仿宋_GB2312" w:eastAsia="仿宋_GB2312" w:cs="宋体"/>
                <w:kern w:val="0"/>
                <w:sz w:val="28"/>
                <w:szCs w:val="28"/>
                <w:lang w:eastAsia="zh-CN"/>
              </w:rPr>
            </w:pPr>
            <w:r>
              <w:rPr>
                <w:rFonts w:ascii="仿宋_GB2312" w:eastAsia="仿宋_GB2312" w:cs="宋体"/>
                <w:kern w:val="0"/>
                <w:sz w:val="28"/>
                <w:szCs w:val="28"/>
              </w:rPr>
              <w:t>628.5</w:t>
            </w:r>
            <w:r>
              <w:rPr>
                <w:rFonts w:hint="eastAsia" w:ascii="仿宋_GB2312" w:eastAsia="仿宋_GB2312" w:cs="宋体"/>
                <w:kern w:val="0"/>
                <w:sz w:val="28"/>
                <w:szCs w:val="28"/>
                <w:lang w:val="en-US" w:eastAsia="zh-CN"/>
              </w:rPr>
              <w:t>9</w:t>
            </w:r>
          </w:p>
        </w:tc>
      </w:tr>
      <w:tr>
        <w:tblPrEx>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1</w:t>
            </w:r>
            <w:r>
              <w:rPr>
                <w:rFonts w:hint="eastAsia" w:ascii="仿宋_GB2312" w:eastAsia="仿宋_GB2312" w:cs="宋体"/>
                <w:kern w:val="0"/>
                <w:sz w:val="28"/>
                <w:szCs w:val="28"/>
              </w:rPr>
              <w:t>、房屋（平方米）</w:t>
            </w:r>
          </w:p>
        </w:tc>
        <w:tc>
          <w:tcPr>
            <w:tcW w:w="258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2862</w:t>
            </w:r>
          </w:p>
        </w:tc>
        <w:tc>
          <w:tcPr>
            <w:tcW w:w="379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473.89</w:t>
            </w:r>
          </w:p>
        </w:tc>
      </w:tr>
      <w:tr>
        <w:tblPrEx>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宋体" w:hAnsi="宋体" w:eastAsia="仿宋_GB2312" w:cs="宋体"/>
                <w:kern w:val="0"/>
                <w:sz w:val="28"/>
                <w:szCs w:val="28"/>
              </w:rPr>
              <w:t xml:space="preserve">   </w:t>
            </w:r>
            <w:r>
              <w:rPr>
                <w:rFonts w:hint="eastAsia" w:ascii="仿宋_GB2312" w:eastAsia="仿宋_GB2312" w:cs="宋体"/>
                <w:kern w:val="0"/>
                <w:sz w:val="28"/>
                <w:szCs w:val="28"/>
              </w:rPr>
              <w:t>其中：办公用房（平方米）</w:t>
            </w:r>
          </w:p>
        </w:tc>
        <w:tc>
          <w:tcPr>
            <w:tcW w:w="258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1350</w:t>
            </w:r>
          </w:p>
        </w:tc>
        <w:tc>
          <w:tcPr>
            <w:tcW w:w="379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131</w:t>
            </w:r>
          </w:p>
        </w:tc>
      </w:tr>
      <w:tr>
        <w:tblPrEx>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2</w:t>
            </w:r>
            <w:r>
              <w:rPr>
                <w:rFonts w:hint="eastAsia" w:ascii="仿宋_GB2312" w:eastAsia="仿宋_GB2312" w:cs="宋体"/>
                <w:kern w:val="0"/>
                <w:sz w:val="28"/>
                <w:szCs w:val="28"/>
              </w:rPr>
              <w:t>、车辆（台、辆）</w:t>
            </w:r>
          </w:p>
        </w:tc>
        <w:tc>
          <w:tcPr>
            <w:tcW w:w="258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2</w:t>
            </w:r>
          </w:p>
        </w:tc>
        <w:tc>
          <w:tcPr>
            <w:tcW w:w="379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35.9</w:t>
            </w:r>
          </w:p>
        </w:tc>
      </w:tr>
      <w:tr>
        <w:tblPrEx>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3</w:t>
            </w:r>
            <w:r>
              <w:rPr>
                <w:rFonts w:hint="eastAsia" w:ascii="仿宋_GB2312" w:eastAsia="仿宋_GB2312" w:cs="宋体"/>
                <w:kern w:val="0"/>
                <w:sz w:val="28"/>
                <w:szCs w:val="28"/>
              </w:rPr>
              <w:t>、单价在</w:t>
            </w:r>
            <w:r>
              <w:rPr>
                <w:rFonts w:ascii="仿宋_GB2312" w:eastAsia="仿宋_GB2312" w:cs="宋体"/>
                <w:kern w:val="0"/>
                <w:sz w:val="28"/>
                <w:szCs w:val="28"/>
              </w:rPr>
              <w:t>50</w:t>
            </w:r>
            <w:r>
              <w:rPr>
                <w:rFonts w:hint="eastAsia" w:ascii="仿宋_GB2312" w:eastAsia="仿宋_GB2312" w:cs="宋体"/>
                <w:kern w:val="0"/>
                <w:sz w:val="28"/>
                <w:szCs w:val="28"/>
              </w:rPr>
              <w:t>万元以上的设备</w:t>
            </w:r>
          </w:p>
        </w:tc>
        <w:tc>
          <w:tcPr>
            <w:tcW w:w="258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p>
        </w:tc>
        <w:tc>
          <w:tcPr>
            <w:tcW w:w="379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p>
        </w:tc>
      </w:tr>
      <w:tr>
        <w:tblPrEx>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4</w:t>
            </w:r>
            <w:r>
              <w:rPr>
                <w:rFonts w:hint="eastAsia" w:ascii="仿宋_GB2312" w:eastAsia="仿宋_GB2312" w:cs="宋体"/>
                <w:kern w:val="0"/>
                <w:sz w:val="28"/>
                <w:szCs w:val="28"/>
              </w:rPr>
              <w:t>、其他固定资产</w:t>
            </w:r>
          </w:p>
        </w:tc>
        <w:tc>
          <w:tcPr>
            <w:tcW w:w="258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仿宋_GB2312" w:cs="宋体"/>
                <w:kern w:val="0"/>
                <w:sz w:val="28"/>
                <w:szCs w:val="28"/>
              </w:rPr>
            </w:pPr>
            <w:r>
              <w:rPr>
                <w:rFonts w:ascii="宋体" w:hAnsi="宋体" w:eastAsia="仿宋_GB2312" w:cs="宋体"/>
                <w:kern w:val="0"/>
                <w:sz w:val="28"/>
                <w:szCs w:val="28"/>
              </w:rPr>
              <w:t>1175</w:t>
            </w:r>
          </w:p>
        </w:tc>
        <w:tc>
          <w:tcPr>
            <w:tcW w:w="379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118.8</w:t>
            </w:r>
          </w:p>
        </w:tc>
      </w:tr>
    </w:tbl>
    <w:p>
      <w:pPr>
        <w:pStyle w:val="7"/>
        <w:spacing w:line="570" w:lineRule="exact"/>
        <w:rPr>
          <w:rFonts w:ascii="黑体" w:eastAsia="黑体" w:cs="宋体"/>
          <w:b/>
          <w:bCs/>
          <w:sz w:val="32"/>
          <w:szCs w:val="32"/>
        </w:rPr>
      </w:pPr>
    </w:p>
    <w:p>
      <w:pPr>
        <w:pStyle w:val="7"/>
        <w:spacing w:line="570" w:lineRule="exact"/>
        <w:rPr>
          <w:rFonts w:ascii="仿宋_GB2312" w:eastAsia="仿宋_GB2312"/>
          <w:b/>
          <w:bCs/>
          <w:sz w:val="32"/>
          <w:szCs w:val="32"/>
        </w:rPr>
      </w:pPr>
      <w:r>
        <w:rPr>
          <w:rFonts w:ascii="黑体" w:eastAsia="黑体" w:cs="宋体"/>
          <w:b/>
          <w:bCs/>
          <w:sz w:val="32"/>
          <w:szCs w:val="32"/>
        </w:rPr>
        <w:br w:type="page"/>
      </w:r>
      <w:r>
        <w:rPr>
          <w:rFonts w:hint="eastAsia" w:ascii="黑体" w:eastAsia="黑体" w:cs="宋体"/>
          <w:b/>
          <w:bCs/>
          <w:sz w:val="32"/>
          <w:szCs w:val="32"/>
        </w:rPr>
        <w:t>八、名词解释</w:t>
      </w:r>
      <w:r>
        <w:rPr>
          <w:rFonts w:ascii="黑体" w:eastAsia="黑体" w:cs="宋体"/>
          <w:sz w:val="32"/>
          <w:szCs w:val="32"/>
        </w:rPr>
        <w:br w:type="textWrapping"/>
      </w:r>
      <w:r>
        <w:rPr>
          <w:b/>
          <w:bCs/>
          <w:sz w:val="32"/>
          <w:szCs w:val="32"/>
        </w:rPr>
        <w:t xml:space="preserve">    </w:t>
      </w:r>
      <w:r>
        <w:rPr>
          <w:rFonts w:ascii="楷体_GB2312" w:eastAsia="楷体_GB2312"/>
          <w:b/>
          <w:bCs/>
          <w:sz w:val="32"/>
          <w:szCs w:val="32"/>
        </w:rPr>
        <w:t>1</w:t>
      </w:r>
      <w:r>
        <w:rPr>
          <w:rFonts w:hint="eastAsia" w:ascii="楷体_GB2312" w:eastAsia="楷体_GB2312" w:cs="FZFangSong-Z02"/>
          <w:b/>
          <w:sz w:val="32"/>
          <w:szCs w:val="32"/>
        </w:rPr>
        <w:t>、一般公共预算拨款收入：</w:t>
      </w:r>
      <w:r>
        <w:rPr>
          <w:rFonts w:hint="eastAsia" w:ascii="仿宋_GB2312" w:eastAsia="仿宋_GB2312" w:cs="FZFangSong-Z02"/>
          <w:sz w:val="32"/>
          <w:szCs w:val="32"/>
        </w:rPr>
        <w:t>指市级财政当年拨付的资金。</w:t>
      </w:r>
    </w:p>
    <w:p>
      <w:pPr>
        <w:pStyle w:val="7"/>
        <w:spacing w:line="570" w:lineRule="exact"/>
        <w:rPr>
          <w:rFonts w:ascii="仿宋_GB2312" w:eastAsia="仿宋_GB2312" w:cs="FZFangSong-Z02"/>
          <w:sz w:val="32"/>
          <w:szCs w:val="32"/>
        </w:rPr>
      </w:pPr>
      <w:r>
        <w:rPr>
          <w:rFonts w:ascii="仿宋_GB2312" w:eastAsia="仿宋_GB2312"/>
          <w:b/>
          <w:bCs/>
          <w:sz w:val="32"/>
          <w:szCs w:val="32"/>
        </w:rPr>
        <w:t xml:space="preserve">    2</w:t>
      </w:r>
      <w:r>
        <w:rPr>
          <w:rFonts w:hint="eastAsia" w:ascii="楷体_GB2312" w:eastAsia="楷体_GB2312" w:cs="FZFangSong-Z02"/>
          <w:b/>
          <w:sz w:val="32"/>
          <w:szCs w:val="32"/>
        </w:rPr>
        <w:t>、事业收入：</w:t>
      </w:r>
      <w:r>
        <w:rPr>
          <w:rFonts w:hint="eastAsia" w:ascii="仿宋_GB2312" w:eastAsia="仿宋_GB2312" w:cs="FZFangSong-Z02"/>
          <w:sz w:val="32"/>
          <w:szCs w:val="32"/>
        </w:rPr>
        <w:t>指事业单位开展专业业务活动及辅助活动所取得的收入。</w:t>
      </w:r>
    </w:p>
    <w:p>
      <w:pPr>
        <w:pStyle w:val="7"/>
        <w:spacing w:line="570" w:lineRule="exact"/>
        <w:rPr>
          <w:rFonts w:ascii="仿宋_GB2312" w:eastAsia="仿宋_GB2312" w:cs="FZFangSong-Z02"/>
          <w:sz w:val="32"/>
          <w:szCs w:val="32"/>
        </w:rPr>
      </w:pPr>
      <w:r>
        <w:rPr>
          <w:rFonts w:ascii="仿宋_GB2312" w:eastAsia="仿宋_GB2312"/>
          <w:b/>
          <w:bCs/>
          <w:sz w:val="32"/>
          <w:szCs w:val="32"/>
        </w:rPr>
        <w:t xml:space="preserve">    </w:t>
      </w:r>
      <w:r>
        <w:rPr>
          <w:rFonts w:ascii="楷体_GB2312" w:eastAsia="楷体_GB2312" w:cs="FZFangSong-Z02"/>
          <w:b/>
          <w:sz w:val="32"/>
          <w:szCs w:val="32"/>
        </w:rPr>
        <w:t>3</w:t>
      </w:r>
      <w:r>
        <w:rPr>
          <w:rFonts w:hint="eastAsia" w:ascii="楷体_GB2312" w:eastAsia="楷体_GB2312" w:cs="FZFangSong-Z02"/>
          <w:b/>
          <w:sz w:val="32"/>
          <w:szCs w:val="32"/>
        </w:rPr>
        <w:t>、其他收入</w:t>
      </w:r>
      <w:r>
        <w:rPr>
          <w:rFonts w:hint="eastAsia" w:ascii="仿宋_GB2312" w:eastAsia="仿宋_GB2312" w:cs="FZFangSong-Z02"/>
          <w:sz w:val="32"/>
          <w:szCs w:val="32"/>
        </w:rPr>
        <w:t>：指除上述</w:t>
      </w:r>
      <w:r>
        <w:rPr>
          <w:rFonts w:hint="eastAsia" w:ascii="仿宋_GB2312" w:eastAsia="仿宋_GB2312"/>
          <w:sz w:val="32"/>
          <w:szCs w:val="32"/>
        </w:rPr>
        <w:t>“</w:t>
      </w:r>
      <w:r>
        <w:rPr>
          <w:rFonts w:hint="eastAsia" w:ascii="仿宋_GB2312" w:eastAsia="仿宋_GB2312" w:cs="FZFangSong-Z02"/>
          <w:sz w:val="32"/>
          <w:szCs w:val="32"/>
        </w:rPr>
        <w:t>财政拨款收入</w:t>
      </w:r>
      <w:r>
        <w:rPr>
          <w:rFonts w:hint="eastAsia" w:ascii="仿宋_GB2312" w:eastAsia="仿宋_GB2312"/>
          <w:sz w:val="32"/>
          <w:szCs w:val="32"/>
        </w:rPr>
        <w:t>”</w:t>
      </w:r>
      <w:r>
        <w:rPr>
          <w:rFonts w:hint="eastAsia" w:ascii="仿宋_GB2312" w:eastAsia="仿宋_GB2312" w:cs="FZFangSong-Z02"/>
          <w:sz w:val="32"/>
          <w:szCs w:val="32"/>
        </w:rPr>
        <w:t>、</w:t>
      </w:r>
      <w:r>
        <w:rPr>
          <w:rFonts w:hint="eastAsia" w:ascii="仿宋_GB2312" w:eastAsia="仿宋_GB2312"/>
          <w:sz w:val="32"/>
          <w:szCs w:val="32"/>
        </w:rPr>
        <w:t>“</w:t>
      </w:r>
      <w:r>
        <w:rPr>
          <w:rFonts w:hint="eastAsia" w:ascii="仿宋_GB2312" w:eastAsia="仿宋_GB2312" w:cs="FZFangSong-Z02"/>
          <w:sz w:val="32"/>
          <w:szCs w:val="32"/>
        </w:rPr>
        <w:t>事业收入</w:t>
      </w:r>
      <w:r>
        <w:rPr>
          <w:rFonts w:hint="eastAsia" w:ascii="仿宋_GB2312" w:eastAsia="仿宋_GB2312"/>
          <w:sz w:val="32"/>
          <w:szCs w:val="32"/>
        </w:rPr>
        <w:t>”</w:t>
      </w:r>
      <w:r>
        <w:rPr>
          <w:rFonts w:hint="eastAsia" w:ascii="仿宋_GB2312" w:eastAsia="仿宋_GB2312" w:cs="FZFangSong-Z02"/>
          <w:sz w:val="32"/>
          <w:szCs w:val="32"/>
        </w:rPr>
        <w:t>等以外的收入。主要是按规定动用的租房收入、存款利息收入等。</w:t>
      </w:r>
    </w:p>
    <w:p>
      <w:pPr>
        <w:pStyle w:val="7"/>
        <w:spacing w:line="570" w:lineRule="exact"/>
        <w:rPr>
          <w:rFonts w:ascii="仿宋_GB2312" w:eastAsia="仿宋_GB2312" w:cs="FZFangSong-Z02"/>
          <w:sz w:val="32"/>
          <w:szCs w:val="32"/>
        </w:rPr>
      </w:pPr>
      <w:r>
        <w:rPr>
          <w:rFonts w:ascii="仿宋_GB2312" w:eastAsia="仿宋_GB2312"/>
          <w:b/>
          <w:bCs/>
          <w:sz w:val="32"/>
          <w:szCs w:val="32"/>
        </w:rPr>
        <w:t xml:space="preserve">    4</w:t>
      </w:r>
      <w:r>
        <w:rPr>
          <w:rFonts w:hint="eastAsia" w:ascii="楷体_GB2312" w:eastAsia="楷体_GB2312" w:cs="FZFangSong-Z02"/>
          <w:b/>
          <w:sz w:val="32"/>
          <w:szCs w:val="32"/>
        </w:rPr>
        <w:t>、基本支出：</w:t>
      </w:r>
      <w:r>
        <w:rPr>
          <w:rFonts w:hint="eastAsia" w:ascii="仿宋_GB2312" w:eastAsia="仿宋_GB2312"/>
          <w:sz w:val="32"/>
          <w:szCs w:val="32"/>
        </w:rPr>
        <w:t>指为保障机构正常运转、完成日常工作任务而发生的人员支出和公用支出。</w:t>
      </w:r>
    </w:p>
    <w:p>
      <w:pPr>
        <w:spacing w:line="570" w:lineRule="exact"/>
        <w:rPr>
          <w:rFonts w:ascii="仿宋_GB2312" w:eastAsia="仿宋_GB2312"/>
          <w:sz w:val="32"/>
          <w:szCs w:val="32"/>
        </w:rPr>
      </w:pPr>
      <w:r>
        <w:rPr>
          <w:rFonts w:ascii="仿宋_GB2312" w:eastAsia="仿宋_GB2312"/>
          <w:b/>
          <w:bCs/>
          <w:sz w:val="32"/>
          <w:szCs w:val="32"/>
        </w:rPr>
        <w:t xml:space="preserve">    </w:t>
      </w:r>
      <w:r>
        <w:rPr>
          <w:rFonts w:ascii="楷体_GB2312" w:eastAsia="楷体_GB2312" w:cs="FZFangSong-Z02"/>
          <w:b/>
          <w:color w:val="000000"/>
          <w:kern w:val="0"/>
          <w:sz w:val="32"/>
          <w:szCs w:val="32"/>
        </w:rPr>
        <w:t>5</w:t>
      </w:r>
      <w:r>
        <w:rPr>
          <w:rFonts w:hint="eastAsia" w:ascii="楷体_GB2312" w:eastAsia="楷体_GB2312" w:cs="FZFangSong-Z02"/>
          <w:b/>
          <w:color w:val="000000"/>
          <w:kern w:val="0"/>
          <w:sz w:val="32"/>
          <w:szCs w:val="32"/>
        </w:rPr>
        <w:t>、项目支出</w:t>
      </w:r>
      <w:r>
        <w:rPr>
          <w:rFonts w:hint="eastAsia" w:ascii="仿宋_GB2312" w:eastAsia="仿宋_GB2312" w:cs="FZFangSong-Z02"/>
          <w:sz w:val="32"/>
          <w:szCs w:val="32"/>
        </w:rPr>
        <w:t>：</w:t>
      </w:r>
      <w:r>
        <w:rPr>
          <w:rFonts w:hint="eastAsia" w:ascii="仿宋_GB2312" w:eastAsia="仿宋_GB2312"/>
          <w:sz w:val="32"/>
          <w:szCs w:val="32"/>
        </w:rPr>
        <w:t>指在基本支出之外为完成特定行政任务和事业发展目标所发生的支出。</w:t>
      </w:r>
    </w:p>
    <w:p>
      <w:pPr>
        <w:pStyle w:val="7"/>
        <w:spacing w:line="570" w:lineRule="exact"/>
        <w:rPr>
          <w:rFonts w:ascii="仿宋_GB2312" w:eastAsia="仿宋_GB2312"/>
          <w:sz w:val="32"/>
          <w:szCs w:val="32"/>
        </w:rPr>
      </w:pPr>
      <w:r>
        <w:rPr>
          <w:rFonts w:ascii="仿宋_GB2312" w:eastAsia="仿宋_GB2312"/>
          <w:b/>
          <w:bCs/>
          <w:sz w:val="32"/>
          <w:szCs w:val="32"/>
        </w:rPr>
        <w:t xml:space="preserve">    </w:t>
      </w:r>
      <w:r>
        <w:rPr>
          <w:rFonts w:ascii="楷体_GB2312" w:eastAsia="楷体_GB2312" w:cs="FZFangSong-Z02"/>
          <w:b/>
          <w:sz w:val="32"/>
          <w:szCs w:val="32"/>
        </w:rPr>
        <w:t>6</w:t>
      </w:r>
      <w:r>
        <w:rPr>
          <w:rFonts w:hint="eastAsia" w:ascii="楷体_GB2312" w:eastAsia="楷体_GB2312" w:cs="FZFangSong-Z02"/>
          <w:b/>
          <w:sz w:val="32"/>
          <w:szCs w:val="32"/>
        </w:rPr>
        <w:t>、上缴上级支出</w:t>
      </w:r>
      <w:r>
        <w:rPr>
          <w:rFonts w:hint="eastAsia" w:ascii="仿宋_GB2312" w:eastAsia="仿宋_GB2312" w:cs="FZFangSong-Z02"/>
          <w:color w:val="auto"/>
          <w:kern w:val="2"/>
          <w:sz w:val="32"/>
          <w:szCs w:val="32"/>
        </w:rPr>
        <w:t>：</w:t>
      </w:r>
      <w:r>
        <w:rPr>
          <w:rFonts w:hint="eastAsia" w:ascii="仿宋_GB2312" w:eastAsia="仿宋_GB2312"/>
          <w:sz w:val="32"/>
          <w:szCs w:val="32"/>
        </w:rPr>
        <w:t>指下级单位上缴上级的支出。</w:t>
      </w:r>
    </w:p>
    <w:p>
      <w:pPr>
        <w:pStyle w:val="7"/>
        <w:spacing w:line="570" w:lineRule="exact"/>
        <w:rPr>
          <w:rFonts w:ascii="仿宋_GB2312" w:eastAsia="仿宋_GB2312" w:cs="FZFangSong-Z02"/>
          <w:sz w:val="32"/>
          <w:szCs w:val="32"/>
        </w:rPr>
      </w:pPr>
      <w:r>
        <w:rPr>
          <w:rFonts w:ascii="仿宋_GB2312" w:eastAsia="仿宋_GB2312"/>
          <w:b/>
          <w:bCs/>
          <w:sz w:val="32"/>
          <w:szCs w:val="32"/>
        </w:rPr>
        <w:t xml:space="preserve">    </w:t>
      </w:r>
      <w:r>
        <w:rPr>
          <w:rFonts w:ascii="楷体_GB2312" w:eastAsia="楷体_GB2312" w:cs="FZFangSong-Z02"/>
          <w:b/>
          <w:sz w:val="32"/>
          <w:szCs w:val="32"/>
        </w:rPr>
        <w:t>7</w:t>
      </w:r>
      <w:r>
        <w:rPr>
          <w:rFonts w:hint="eastAsia" w:ascii="楷体_GB2312" w:eastAsia="楷体_GB2312" w:cs="FZFangSong-Z02"/>
          <w:b/>
          <w:sz w:val="32"/>
          <w:szCs w:val="32"/>
        </w:rPr>
        <w:t>、“三公”经费</w:t>
      </w:r>
      <w:r>
        <w:rPr>
          <w:rFonts w:hint="eastAsia" w:ascii="仿宋_GB2312" w:eastAsia="仿宋_GB2312" w:cs="FZFangSong-Z02"/>
          <w:sz w:val="32"/>
          <w:szCs w:val="32"/>
        </w:rPr>
        <w:t>：纳入市级财政预算管理的</w:t>
      </w:r>
      <w:r>
        <w:rPr>
          <w:rFonts w:hint="eastAsia" w:ascii="仿宋_GB2312" w:eastAsia="仿宋_GB2312"/>
          <w:sz w:val="32"/>
          <w:szCs w:val="32"/>
        </w:rPr>
        <w:t>“</w:t>
      </w:r>
      <w:r>
        <w:rPr>
          <w:rFonts w:hint="eastAsia" w:ascii="仿宋_GB2312" w:eastAsia="仿宋_GB2312" w:cs="FZFangSong-Z02"/>
          <w:sz w:val="32"/>
          <w:szCs w:val="32"/>
        </w:rPr>
        <w:t>三公</w:t>
      </w:r>
      <w:r>
        <w:rPr>
          <w:rFonts w:hint="eastAsia" w:ascii="仿宋_GB2312" w:eastAsia="仿宋_GB2312"/>
          <w:sz w:val="32"/>
          <w:szCs w:val="32"/>
        </w:rPr>
        <w:t>”</w:t>
      </w:r>
      <w:r>
        <w:rPr>
          <w:rFonts w:hint="eastAsia" w:ascii="仿宋_GB2312" w:eastAsia="仿宋_GB2312"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70" w:lineRule="exact"/>
        <w:rPr>
          <w:rFonts w:ascii="仿宋_GB2312" w:eastAsia="仿宋_GB2312" w:cs="FZFangSong-Z02"/>
          <w:sz w:val="32"/>
          <w:szCs w:val="32"/>
        </w:rPr>
      </w:pPr>
      <w:r>
        <w:rPr>
          <w:rFonts w:ascii="仿宋_GB2312" w:eastAsia="仿宋_GB2312"/>
          <w:b/>
          <w:bCs/>
          <w:sz w:val="32"/>
          <w:szCs w:val="32"/>
        </w:rPr>
        <w:t xml:space="preserve">    </w:t>
      </w:r>
      <w:r>
        <w:rPr>
          <w:rFonts w:ascii="楷体_GB2312" w:eastAsia="楷体_GB2312" w:cs="FZFangSong-Z02"/>
          <w:b/>
          <w:color w:val="000000"/>
          <w:kern w:val="0"/>
          <w:sz w:val="32"/>
          <w:szCs w:val="32"/>
        </w:rPr>
        <w:t>8</w:t>
      </w:r>
      <w:r>
        <w:rPr>
          <w:rFonts w:hint="eastAsia" w:ascii="楷体_GB2312" w:eastAsia="楷体_GB2312" w:cs="FZFangSong-Z02"/>
          <w:b/>
          <w:color w:val="000000"/>
          <w:kern w:val="0"/>
          <w:sz w:val="32"/>
          <w:szCs w:val="32"/>
        </w:rPr>
        <w:t>、机关运行费</w:t>
      </w:r>
      <w:r>
        <w:rPr>
          <w:rFonts w:hint="eastAsia" w:ascii="仿宋_GB2312" w:eastAsia="仿宋_GB2312" w:cs="FZFangSong-Z02"/>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widowControl/>
        <w:spacing w:line="570" w:lineRule="exact"/>
        <w:jc w:val="left"/>
        <w:rPr>
          <w:rFonts w:ascii="宋体" w:hAnsi="宋体" w:eastAsia="仿宋_GB2312" w:cs="宋体"/>
          <w:color w:val="000000"/>
          <w:kern w:val="0"/>
          <w:sz w:val="32"/>
          <w:szCs w:val="32"/>
        </w:rPr>
      </w:pPr>
      <w:r>
        <w:rPr>
          <w:rFonts w:hint="eastAsia" w:ascii="黑体" w:eastAsia="黑体" w:cs="宋体"/>
          <w:b/>
          <w:bCs/>
          <w:color w:val="000000"/>
          <w:kern w:val="0"/>
          <w:sz w:val="32"/>
          <w:szCs w:val="32"/>
        </w:rPr>
        <w:t>九、其他需要说明的事项</w:t>
      </w:r>
      <w:r>
        <w:rPr>
          <w:rFonts w:ascii="黑体" w:eastAsia="黑体" w:cs="宋体"/>
          <w:color w:val="000000"/>
          <w:kern w:val="0"/>
          <w:sz w:val="32"/>
          <w:szCs w:val="32"/>
        </w:rPr>
        <w:br w:type="textWrapping"/>
      </w:r>
      <w:r>
        <w:rPr>
          <w:rFonts w:hint="eastAsia" w:ascii="仿宋_GB2312" w:eastAsia="仿宋_GB2312" w:cs="宋体"/>
          <w:color w:val="000000"/>
          <w:kern w:val="0"/>
          <w:sz w:val="32"/>
          <w:szCs w:val="32"/>
        </w:rPr>
        <w:t>无其他需要说明的事项。</w:t>
      </w:r>
      <w:r>
        <w:rPr>
          <w:rFonts w:ascii="仿宋_GB2312" w:eastAsia="仿宋_GB2312" w:cs="宋体"/>
          <w:color w:val="000000"/>
          <w:kern w:val="0"/>
          <w:sz w:val="32"/>
          <w:szCs w:val="32"/>
        </w:rPr>
        <w:br w:type="textWrapping"/>
      </w:r>
      <w:r>
        <w:rPr>
          <w:rFonts w:ascii="宋体" w:hAnsi="宋体" w:eastAsia="仿宋_GB2312" w:cs="宋体"/>
          <w:color w:val="000000"/>
          <w:kern w:val="0"/>
          <w:sz w:val="32"/>
          <w:szCs w:val="32"/>
        </w:rPr>
        <w:t> </w:t>
      </w:r>
    </w:p>
    <w:p>
      <w:pPr>
        <w:rPr>
          <w:rFonts w:eastAsia="仿宋_GB2312"/>
          <w:sz w:val="32"/>
          <w:szCs w:val="32"/>
        </w:rPr>
      </w:pPr>
    </w:p>
    <w:sectPr>
      <w:headerReference r:id="rId3" w:type="default"/>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FZFangSong-Z02">
    <w:altName w:val="Arial"/>
    <w:panose1 w:val="00000000000000000000"/>
    <w:charset w:val="00"/>
    <w:family w:val="auto"/>
    <w:pitch w:val="default"/>
    <w:sig w:usb0="00000000"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BA1474"/>
    <w:multiLevelType w:val="multilevel"/>
    <w:tmpl w:val="AFBA1474"/>
    <w:lvl w:ilvl="0" w:tentative="0">
      <w:start w:val="1"/>
      <w:numFmt w:val="chineseCountingThousand"/>
      <w:lvlText w:val="%1、"/>
      <w:lvlJc w:val="left"/>
      <w:pPr>
        <w:tabs>
          <w:tab w:val="left" w:pos="0"/>
        </w:tabs>
        <w:ind w:left="647" w:hanging="647"/>
      </w:pPr>
      <w:rPr>
        <w:rFonts w:hint="default" w:ascii="黑体" w:hAnsi="黑体" w:eastAsia="黑体" w:cs="Times New Roman"/>
      </w:rPr>
    </w:lvl>
    <w:lvl w:ilvl="1" w:tentative="0">
      <w:start w:val="1"/>
      <w:numFmt w:val="lowerLetter"/>
      <w:lvlText w:val="%2)"/>
      <w:lvlJc w:val="left"/>
      <w:pPr>
        <w:tabs>
          <w:tab w:val="left" w:pos="0"/>
        </w:tabs>
        <w:ind w:left="840" w:hanging="420"/>
      </w:pPr>
      <w:rPr>
        <w:rFonts w:cs="Times New Roman"/>
      </w:rPr>
    </w:lvl>
    <w:lvl w:ilvl="2" w:tentative="0">
      <w:start w:val="1"/>
      <w:numFmt w:val="lowerRoman"/>
      <w:lvlText w:val="%3."/>
      <w:lvlJc w:val="right"/>
      <w:pPr>
        <w:tabs>
          <w:tab w:val="left" w:pos="0"/>
        </w:tabs>
        <w:ind w:left="1260" w:hanging="420"/>
      </w:pPr>
      <w:rPr>
        <w:rFonts w:cs="Times New Roman"/>
      </w:rPr>
    </w:lvl>
    <w:lvl w:ilvl="3" w:tentative="0">
      <w:start w:val="1"/>
      <w:numFmt w:val="decimal"/>
      <w:lvlText w:val="%4."/>
      <w:lvlJc w:val="left"/>
      <w:pPr>
        <w:tabs>
          <w:tab w:val="left" w:pos="0"/>
        </w:tabs>
        <w:ind w:left="1680" w:hanging="420"/>
      </w:pPr>
      <w:rPr>
        <w:rFonts w:cs="Times New Roman"/>
      </w:rPr>
    </w:lvl>
    <w:lvl w:ilvl="4" w:tentative="0">
      <w:start w:val="1"/>
      <w:numFmt w:val="lowerLetter"/>
      <w:lvlText w:val="%5)"/>
      <w:lvlJc w:val="left"/>
      <w:pPr>
        <w:tabs>
          <w:tab w:val="left" w:pos="0"/>
        </w:tabs>
        <w:ind w:left="2100" w:hanging="420"/>
      </w:pPr>
      <w:rPr>
        <w:rFonts w:cs="Times New Roman"/>
      </w:rPr>
    </w:lvl>
    <w:lvl w:ilvl="5" w:tentative="0">
      <w:start w:val="1"/>
      <w:numFmt w:val="lowerRoman"/>
      <w:lvlText w:val="%6."/>
      <w:lvlJc w:val="right"/>
      <w:pPr>
        <w:tabs>
          <w:tab w:val="left" w:pos="0"/>
        </w:tabs>
        <w:ind w:left="2520" w:hanging="420"/>
      </w:pPr>
      <w:rPr>
        <w:rFonts w:cs="Times New Roman"/>
      </w:rPr>
    </w:lvl>
    <w:lvl w:ilvl="6" w:tentative="0">
      <w:start w:val="1"/>
      <w:numFmt w:val="decimal"/>
      <w:lvlText w:val="%7."/>
      <w:lvlJc w:val="left"/>
      <w:pPr>
        <w:tabs>
          <w:tab w:val="left" w:pos="0"/>
        </w:tabs>
        <w:ind w:left="2940" w:hanging="420"/>
      </w:pPr>
      <w:rPr>
        <w:rFonts w:cs="Times New Roman"/>
      </w:rPr>
    </w:lvl>
    <w:lvl w:ilvl="7" w:tentative="0">
      <w:start w:val="1"/>
      <w:numFmt w:val="lowerLetter"/>
      <w:lvlText w:val="%8)"/>
      <w:lvlJc w:val="left"/>
      <w:pPr>
        <w:tabs>
          <w:tab w:val="left" w:pos="0"/>
        </w:tabs>
        <w:ind w:left="3360" w:hanging="420"/>
      </w:pPr>
      <w:rPr>
        <w:rFonts w:cs="Times New Roman"/>
      </w:rPr>
    </w:lvl>
    <w:lvl w:ilvl="8" w:tentative="0">
      <w:start w:val="1"/>
      <w:numFmt w:val="lowerRoman"/>
      <w:lvlText w:val="%9."/>
      <w:lvlJc w:val="right"/>
      <w:pPr>
        <w:tabs>
          <w:tab w:val="left" w:pos="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D936EC"/>
    <w:rsid w:val="00233DE8"/>
    <w:rsid w:val="002D2B2D"/>
    <w:rsid w:val="00356253"/>
    <w:rsid w:val="00942ACD"/>
    <w:rsid w:val="00B2729E"/>
    <w:rsid w:val="00D936EC"/>
    <w:rsid w:val="00E54DDF"/>
    <w:rsid w:val="10D229FD"/>
    <w:rsid w:val="22501281"/>
    <w:rsid w:val="56E3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rFonts w:cs="Times New Roman"/>
      <w:b/>
      <w:bCs/>
    </w:rPr>
  </w:style>
  <w:style w:type="paragraph" w:customStyle="1" w:styleId="7">
    <w:name w:val="Default"/>
    <w:next w:val="3"/>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1088</Words>
  <Characters>6208</Characters>
  <Lines>51</Lines>
  <Paragraphs>14</Paragraphs>
  <TotalTime>0</TotalTime>
  <ScaleCrop>false</ScaleCrop>
  <LinksUpToDate>false</LinksUpToDate>
  <CharactersWithSpaces>7282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2017-10-27T09:23:00Z</dcterms:created>
  <dc:creator>lenovo</dc:creator>
  <cp:lastModifiedBy>Administrator</cp:lastModifiedBy>
  <dcterms:modified xsi:type="dcterms:W3CDTF">2024-01-18T01:47:15Z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5422758DE0F94049A7B535197493B7F9</vt:lpwstr>
  </property>
</Properties>
</file>