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r>
        <w:rPr>
          <w:rFonts w:hint="eastAsia" w:ascii="方正小标宋简体" w:eastAsia="方正小标宋简体" w:cs="宋体"/>
          <w:b/>
          <w:bCs/>
          <w:color w:val="000000"/>
          <w:kern w:val="0"/>
          <w:sz w:val="44"/>
          <w:szCs w:val="44"/>
        </w:rPr>
        <w:t>廊坊市广阳区广播电视局201</w:t>
      </w:r>
      <w:r>
        <w:rPr>
          <w:rFonts w:ascii="方正小标宋简体" w:eastAsia="方正小标宋简体" w:cs="宋体"/>
          <w:b/>
          <w:bCs/>
          <w:color w:val="000000"/>
          <w:kern w:val="0"/>
          <w:sz w:val="44"/>
          <w:szCs w:val="44"/>
        </w:rPr>
        <w:t>8</w:t>
      </w:r>
      <w:r>
        <w:rPr>
          <w:rFonts w:hint="eastAsia" w:ascii="方正小标宋简体" w:eastAsia="方正小标宋简体" w:cs="宋体"/>
          <w:b/>
          <w:bCs/>
          <w:color w:val="000000"/>
          <w:kern w:val="0"/>
          <w:sz w:val="44"/>
          <w:szCs w:val="44"/>
        </w:rPr>
        <w:t>年部门预算信息公开</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bookmarkStart w:id="0" w:name="_GoBack"/>
      <w:bookmarkEnd w:id="0"/>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廊坊市广阳区广播局</w:t>
      </w:r>
      <w:r>
        <w:rPr>
          <w:rFonts w:hint="eastAsia" w:ascii="仿宋_GB2312" w:eastAsia="仿宋_GB2312"/>
          <w:sz w:val="32"/>
          <w:szCs w:val="32"/>
        </w:rPr>
        <w:t>201</w:t>
      </w:r>
      <w:r>
        <w:rPr>
          <w:rFonts w:ascii="仿宋_GB2312" w:eastAsia="仿宋_GB2312"/>
          <w:sz w:val="32"/>
          <w:szCs w:val="32"/>
        </w:rPr>
        <w:t>8</w:t>
      </w:r>
      <w:r>
        <w:rPr>
          <w:rFonts w:hint="eastAsia" w:ascii="仿宋_GB2312" w:eastAsia="仿宋_GB2312"/>
          <w:sz w:val="32"/>
          <w:szCs w:val="32"/>
        </w:rPr>
        <w:t>年部门预算公开如下：</w:t>
      </w:r>
    </w:p>
    <w:p>
      <w:pPr>
        <w:widowControl/>
        <w:shd w:val="clear" w:color="auto" w:fill="FFFFFF"/>
        <w:wordWrap w:val="0"/>
        <w:spacing w:after="360" w:line="570" w:lineRule="exact"/>
        <w:ind w:left="106" w:leftChars="50" w:hanging="1"/>
        <w:jc w:val="left"/>
        <w:rPr>
          <w:rFonts w:ascii="仿宋_GB2312" w:eastAsia="仿宋_GB2312"/>
          <w:color w:val="333333"/>
          <w:kern w:val="0"/>
          <w:sz w:val="32"/>
          <w:szCs w:val="32"/>
        </w:rPr>
      </w:pPr>
      <w:r>
        <w:rPr>
          <w:rFonts w:hint="eastAsia" w:ascii="黑体" w:eastAsia="黑体" w:cs="宋体"/>
          <w:b/>
          <w:bCs/>
          <w:color w:val="000000"/>
          <w:kern w:val="0"/>
          <w:sz w:val="32"/>
          <w:szCs w:val="32"/>
        </w:rPr>
        <w:t xml:space="preserve">一、部门职责及机构设置情况   </w:t>
      </w:r>
      <w:r>
        <w:rPr>
          <w:rFonts w:hint="eastAsia" w:ascii="黑体" w:eastAsia="黑体" w:cs="宋体"/>
          <w:color w:val="000000"/>
          <w:kern w:val="0"/>
          <w:sz w:val="32"/>
          <w:szCs w:val="32"/>
        </w:rPr>
        <w:br w:type="textWrapping"/>
      </w:r>
      <w:r>
        <w:rPr>
          <w:rFonts w:hint="eastAsia" w:ascii="楷体_GB2312" w:eastAsia="楷体_GB2312" w:cs="宋体"/>
          <w:b/>
          <w:bCs/>
          <w:color w:val="000000"/>
          <w:kern w:val="0"/>
          <w:sz w:val="32"/>
          <w:szCs w:val="32"/>
        </w:rPr>
        <w:t>部门职责：</w:t>
      </w:r>
      <w:r>
        <w:rPr>
          <w:rFonts w:ascii="仿宋_GB2312" w:eastAsia="仿宋_GB2312"/>
          <w:color w:val="333333"/>
          <w:kern w:val="0"/>
          <w:sz w:val="32"/>
          <w:szCs w:val="32"/>
        </w:rPr>
        <w:t xml:space="preserve"> </w:t>
      </w:r>
    </w:p>
    <w:p>
      <w:pPr>
        <w:widowControl/>
        <w:shd w:val="clear" w:color="auto" w:fill="FFFFFF"/>
        <w:wordWrap w:val="0"/>
        <w:spacing w:after="360" w:line="570" w:lineRule="exact"/>
        <w:ind w:firstLine="480"/>
        <w:jc w:val="left"/>
        <w:rPr>
          <w:rFonts w:ascii="仿宋_GB2312" w:eastAsia="仿宋_GB2312"/>
          <w:color w:val="333333"/>
          <w:kern w:val="0"/>
          <w:sz w:val="32"/>
          <w:szCs w:val="32"/>
        </w:rPr>
      </w:pPr>
      <w:r>
        <w:rPr>
          <w:rFonts w:ascii="仿宋_GB2312" w:eastAsia="仿宋_GB2312"/>
          <w:color w:val="333333"/>
          <w:kern w:val="0"/>
          <w:sz w:val="32"/>
          <w:szCs w:val="32"/>
        </w:rPr>
        <w:t>1</w:t>
      </w:r>
      <w:r>
        <w:rPr>
          <w:rFonts w:hint="eastAsia" w:ascii="仿宋_GB2312" w:eastAsia="仿宋_GB2312"/>
          <w:color w:val="333333"/>
          <w:kern w:val="0"/>
          <w:sz w:val="32"/>
          <w:szCs w:val="32"/>
        </w:rPr>
        <w:t>、全面贯彻落实广播电视宣传的各项政策，坚持正确的舆论导向。以廊坊电视台“广阳时讯”栏目为阵地，宣传广阳区委、区政府经济、文化等方面的方针、政策，先进典型、经验等。为广阳区的经济发展创造良好的政治舆论环境。</w:t>
      </w:r>
    </w:p>
    <w:p>
      <w:pPr>
        <w:widowControl/>
        <w:shd w:val="clear" w:color="auto" w:fill="FFFFFF"/>
        <w:wordWrap w:val="0"/>
        <w:spacing w:after="360" w:line="570" w:lineRule="exact"/>
        <w:ind w:firstLine="480"/>
        <w:jc w:val="left"/>
        <w:rPr>
          <w:rFonts w:ascii="仿宋_GB2312" w:eastAsia="仿宋_GB2312"/>
          <w:color w:val="333333"/>
          <w:kern w:val="0"/>
          <w:sz w:val="32"/>
          <w:szCs w:val="32"/>
        </w:rPr>
      </w:pPr>
      <w:r>
        <w:rPr>
          <w:rFonts w:ascii="仿宋_GB2312" w:eastAsia="仿宋_GB2312"/>
          <w:color w:val="333333"/>
          <w:kern w:val="0"/>
          <w:sz w:val="32"/>
          <w:szCs w:val="32"/>
        </w:rPr>
        <w:t>2</w:t>
      </w:r>
      <w:r>
        <w:rPr>
          <w:rFonts w:hint="eastAsia" w:ascii="仿宋_GB2312" w:eastAsia="仿宋_GB2312"/>
          <w:color w:val="333333"/>
          <w:kern w:val="0"/>
          <w:sz w:val="32"/>
          <w:szCs w:val="32"/>
        </w:rPr>
        <w:t>、加强对全区卫星地面接收站的管理。监督检查卫星电视节目的收转情况，加强对技术人员进行政治、业务培训，确保不出现政治和责任事故。</w:t>
      </w:r>
    </w:p>
    <w:p>
      <w:pPr>
        <w:widowControl/>
        <w:shd w:val="clear" w:color="auto" w:fill="FFFFFF"/>
        <w:wordWrap w:val="0"/>
        <w:spacing w:after="360" w:line="570" w:lineRule="exact"/>
        <w:ind w:firstLine="480"/>
        <w:jc w:val="left"/>
        <w:rPr>
          <w:rFonts w:ascii="仿宋_GB2312" w:eastAsia="仿宋_GB2312"/>
          <w:color w:val="333333"/>
          <w:kern w:val="0"/>
          <w:sz w:val="32"/>
          <w:szCs w:val="32"/>
        </w:rPr>
      </w:pPr>
      <w:r>
        <w:rPr>
          <w:rFonts w:ascii="仿宋_GB2312" w:eastAsia="仿宋_GB2312"/>
          <w:color w:val="333333"/>
          <w:kern w:val="0"/>
          <w:sz w:val="32"/>
          <w:szCs w:val="32"/>
        </w:rPr>
        <w:t>3</w:t>
      </w:r>
      <w:r>
        <w:rPr>
          <w:rFonts w:hint="eastAsia" w:ascii="仿宋_GB2312" w:eastAsia="仿宋_GB2312"/>
          <w:color w:val="333333"/>
          <w:kern w:val="0"/>
          <w:sz w:val="32"/>
          <w:szCs w:val="32"/>
        </w:rPr>
        <w:t>、加强广播电视队伍建设，提高全面政治、业务素质，当好党和政府联系群众的桥梁和纽带，内强素质，外树形象，努力提高全局整体水平。</w:t>
      </w:r>
    </w:p>
    <w:p>
      <w:pPr>
        <w:widowControl/>
        <w:shd w:val="clear" w:color="auto" w:fill="FFFFFF"/>
        <w:wordWrap w:val="0"/>
        <w:spacing w:after="360" w:line="570" w:lineRule="exact"/>
        <w:ind w:firstLine="480"/>
        <w:jc w:val="left"/>
        <w:rPr>
          <w:rFonts w:ascii="仿宋_GB2312" w:eastAsia="仿宋_GB2312"/>
          <w:color w:val="333333"/>
          <w:kern w:val="0"/>
          <w:sz w:val="32"/>
          <w:szCs w:val="32"/>
        </w:rPr>
      </w:pPr>
      <w:r>
        <w:rPr>
          <w:rFonts w:ascii="仿宋_GB2312" w:eastAsia="仿宋_GB2312"/>
          <w:color w:val="333333"/>
          <w:kern w:val="0"/>
          <w:sz w:val="32"/>
          <w:szCs w:val="32"/>
        </w:rPr>
        <w:t>4</w:t>
      </w:r>
      <w:r>
        <w:rPr>
          <w:rFonts w:hint="eastAsia" w:ascii="仿宋_GB2312" w:eastAsia="仿宋_GB2312"/>
          <w:color w:val="333333"/>
          <w:kern w:val="0"/>
          <w:sz w:val="32"/>
          <w:szCs w:val="32"/>
        </w:rPr>
        <w:t>、对局属单位经营活动进行指挥和监督，根据我区实际，充分利用区位优势，研究制定发展规划，为广播电视事业的发展壮大做好后勤保障。</w:t>
      </w:r>
    </w:p>
    <w:p>
      <w:pPr>
        <w:widowControl/>
        <w:shd w:val="clear" w:color="auto" w:fill="FFFFFF"/>
        <w:wordWrap w:val="0"/>
        <w:spacing w:after="360" w:line="570" w:lineRule="exact"/>
        <w:ind w:firstLine="480"/>
        <w:jc w:val="left"/>
        <w:rPr>
          <w:rFonts w:ascii="仿宋_GB2312" w:eastAsia="仿宋_GB2312"/>
          <w:color w:val="333333"/>
          <w:kern w:val="0"/>
          <w:sz w:val="32"/>
          <w:szCs w:val="32"/>
        </w:rPr>
      </w:pPr>
      <w:r>
        <w:rPr>
          <w:rFonts w:ascii="仿宋_GB2312" w:eastAsia="仿宋_GB2312"/>
          <w:color w:val="333333"/>
          <w:kern w:val="0"/>
          <w:sz w:val="32"/>
          <w:szCs w:val="32"/>
        </w:rPr>
        <w:t>5</w:t>
      </w:r>
      <w:r>
        <w:rPr>
          <w:rFonts w:hint="eastAsia" w:ascii="仿宋_GB2312" w:eastAsia="仿宋_GB2312"/>
          <w:color w:val="333333"/>
          <w:kern w:val="0"/>
          <w:sz w:val="32"/>
          <w:szCs w:val="32"/>
        </w:rPr>
        <w:t>、承办区委、区政府交办的其他事项。配合区委、区政府各项中心工作。</w:t>
      </w:r>
    </w:p>
    <w:p>
      <w:pPr>
        <w:widowControl/>
        <w:spacing w:line="570" w:lineRule="exact"/>
        <w:ind w:left="640" w:leftChars="228" w:hanging="161" w:hangingChars="50"/>
        <w:jc w:val="left"/>
        <w:rPr>
          <w:rFonts w:hint="eastAsia" w:ascii="楷体_GB2312" w:eastAsia="楷体_GB2312" w:cs="宋体"/>
          <w:color w:val="000000"/>
          <w:kern w:val="0"/>
          <w:sz w:val="32"/>
          <w:szCs w:val="32"/>
        </w:rPr>
      </w:pPr>
      <w:r>
        <w:rPr>
          <w:rFonts w:hint="eastAsia" w:ascii="楷体_GB2312" w:eastAsia="楷体_GB2312" w:cs="宋体"/>
          <w:b/>
          <w:bCs/>
          <w:color w:val="000000"/>
          <w:kern w:val="0"/>
          <w:sz w:val="32"/>
          <w:szCs w:val="32"/>
        </w:rPr>
        <w:t>机构设置：</w:t>
      </w:r>
    </w:p>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12458" w:type="dxa"/>
        <w:tblCellSpacing w:w="0" w:type="dxa"/>
        <w:tblInd w:w="44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195"/>
        <w:gridCol w:w="2075"/>
        <w:gridCol w:w="1664"/>
        <w:gridCol w:w="452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283" w:hRule="atLeast"/>
          <w:tblHeader/>
          <w:tblCellSpacing w:w="0" w:type="dxa"/>
        </w:trPr>
        <w:tc>
          <w:tcPr>
            <w:tcW w:w="4195"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2075"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664"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4524"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trPr>
        <w:tc>
          <w:tcPr>
            <w:tcW w:w="4195"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廊坊市广阳区广播电视局</w:t>
            </w:r>
          </w:p>
        </w:tc>
        <w:tc>
          <w:tcPr>
            <w:tcW w:w="2075"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ascii="仿宋_GB2312" w:eastAsia="仿宋_GB2312" w:cs="宋体"/>
                <w:kern w:val="0"/>
                <w:sz w:val="32"/>
                <w:szCs w:val="32"/>
              </w:rPr>
              <w:t>事业单位</w:t>
            </w:r>
          </w:p>
        </w:tc>
        <w:tc>
          <w:tcPr>
            <w:tcW w:w="1664"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正科级</w:t>
            </w:r>
          </w:p>
        </w:tc>
        <w:tc>
          <w:tcPr>
            <w:tcW w:w="4524"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bl>
    <w:p>
      <w:pPr>
        <w:widowControl/>
        <w:spacing w:line="570" w:lineRule="exact"/>
        <w:jc w:val="left"/>
        <w:rPr>
          <w:rFonts w:ascii="仿宋_GB2312" w:eastAsia="仿宋_GB2312" w:cs="宋体"/>
          <w:color w:val="000000"/>
          <w:kern w:val="0"/>
          <w:sz w:val="32"/>
          <w:szCs w:val="32"/>
        </w:rPr>
      </w:pPr>
      <w:r>
        <w:rPr>
          <w:rFonts w:hint="eastAsia"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hAnsi="Times New Roman" w:eastAsia="仿宋_GB2312" w:cs="Times New Roman"/>
          <w:sz w:val="32"/>
          <w:szCs w:val="32"/>
        </w:rPr>
        <w:t>廊坊市</w:t>
      </w:r>
      <w:r>
        <w:rPr>
          <w:rFonts w:hint="eastAsia" w:ascii="仿宋_GB2312" w:eastAsia="仿宋_GB2312" w:cs="宋体"/>
          <w:color w:val="000000"/>
          <w:kern w:val="0"/>
          <w:sz w:val="32"/>
          <w:szCs w:val="32"/>
        </w:rPr>
        <w:t>广阳区</w:t>
      </w:r>
      <w:r>
        <w:rPr>
          <w:rFonts w:hint="eastAsia" w:ascii="仿宋_GB2312" w:eastAsia="仿宋_GB2312" w:cs="宋体"/>
          <w:color w:val="000000"/>
          <w:kern w:val="0"/>
          <w:sz w:val="32"/>
          <w:szCs w:val="32"/>
          <w:lang w:eastAsia="zh-CN"/>
        </w:rPr>
        <w:t>广播电视局</w:t>
      </w:r>
      <w:r>
        <w:rPr>
          <w:rFonts w:hint="eastAsia" w:ascii="仿宋_GB2312" w:hAnsi="Times New Roman" w:eastAsia="仿宋_GB2312" w:cs="Times New Roman"/>
          <w:sz w:val="32"/>
          <w:szCs w:val="32"/>
        </w:rPr>
        <w:t>机关及所属事业单位的收支包含在部门预算中</w:t>
      </w:r>
      <w:r>
        <w:rPr>
          <w:rFonts w:hint="eastAsia" w:ascii="仿宋_GB2312" w:hAnsi="Times New Roman" w:eastAsia="仿宋_GB2312" w:cs="Times New Roman"/>
          <w:sz w:val="32"/>
          <w:szCs w:val="32"/>
          <w:lang w:eastAsia="zh-CN"/>
        </w:rPr>
        <w:t>。</w:t>
      </w:r>
    </w:p>
    <w:p>
      <w:pPr>
        <w:widowControl/>
        <w:spacing w:line="570" w:lineRule="exac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1、</w:t>
      </w:r>
      <w:r>
        <w:rPr>
          <w:rFonts w:hint="eastAsia" w:ascii="楷体_GB2312" w:eastAsia="楷体_GB2312" w:cs="宋体"/>
          <w:b/>
          <w:bCs/>
          <w:color w:val="000000"/>
          <w:kern w:val="0"/>
          <w:sz w:val="32"/>
          <w:szCs w:val="32"/>
        </w:rPr>
        <w:t>收入说明</w:t>
      </w:r>
    </w:p>
    <w:p>
      <w:pPr>
        <w:widowControl/>
        <w:spacing w:line="570" w:lineRule="exact"/>
        <w:ind w:firstLine="640" w:firstLineChars="200"/>
        <w:jc w:val="left"/>
        <w:rPr>
          <w:rFonts w:ascii="仿宋_GB2312" w:eastAsia="仿宋_GB2312" w:cs="宋体"/>
          <w:bCs/>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年预算收入299.13万元，其中：一般公共预算收入299.13万元，政府性基金收入0</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事业收入0，其他收入0万元。</w:t>
      </w:r>
    </w:p>
    <w:p>
      <w:pPr>
        <w:widowControl/>
        <w:spacing w:line="570" w:lineRule="exact"/>
        <w:ind w:firstLine="643" w:firstLineChars="200"/>
        <w:jc w:val="left"/>
        <w:rPr>
          <w:rFonts w:ascii="仿宋_GB2312" w:eastAsia="仿宋_GB2312" w:cs="宋体"/>
          <w:color w:val="000000"/>
          <w:kern w:val="0"/>
          <w:sz w:val="32"/>
          <w:szCs w:val="32"/>
        </w:rPr>
      </w:pPr>
      <w:r>
        <w:rPr>
          <w:rFonts w:hint="eastAsia" w:ascii="楷体_GB2312" w:eastAsia="楷体_GB2312" w:cs="宋体"/>
          <w:b/>
          <w:bCs/>
          <w:color w:val="000000"/>
          <w:kern w:val="0"/>
          <w:sz w:val="32"/>
          <w:szCs w:val="32"/>
        </w:rPr>
        <w:t>2、支出说明</w:t>
      </w:r>
    </w:p>
    <w:p>
      <w:pPr>
        <w:spacing w:line="570" w:lineRule="exact"/>
        <w:ind w:firstLine="640"/>
        <w:rPr>
          <w:rFonts w:ascii="仿宋_GB2312" w:eastAsia="仿宋_GB2312" w:cs="宋体"/>
          <w:color w:val="000000"/>
          <w:kern w:val="0"/>
          <w:sz w:val="32"/>
          <w:szCs w:val="32"/>
        </w:rPr>
      </w:pPr>
      <w:r>
        <w:rPr>
          <w:rFonts w:ascii="仿宋_GB2312" w:eastAsia="仿宋_GB2312" w:cs="宋体"/>
          <w:color w:val="000000"/>
          <w:kern w:val="0"/>
          <w:sz w:val="32"/>
          <w:szCs w:val="32"/>
        </w:rPr>
        <w:t>收支预算总表支出栏、基本支出表、项目支出表按经济分类和支出功能分类科目编制，反映河北省</w:t>
      </w:r>
      <w:r>
        <w:rPr>
          <w:rFonts w:hint="eastAsia" w:ascii="仿宋_GB2312" w:eastAsia="仿宋_GB2312" w:cs="宋体"/>
          <w:color w:val="000000"/>
          <w:kern w:val="0"/>
          <w:sz w:val="32"/>
          <w:szCs w:val="32"/>
        </w:rPr>
        <w:t>2018</w:t>
      </w:r>
      <w:r>
        <w:rPr>
          <w:rFonts w:ascii="仿宋_GB2312" w:eastAsia="仿宋_GB2312" w:cs="宋体"/>
          <w:color w:val="000000"/>
          <w:kern w:val="0"/>
          <w:sz w:val="32"/>
          <w:szCs w:val="32"/>
        </w:rPr>
        <w:t>年度部门预算中支出预算的总体情况。2018年支出预算299.13万元，其中基本支出275.59万元，包括人员经费</w:t>
      </w:r>
      <w:r>
        <w:rPr>
          <w:rFonts w:hint="eastAsia" w:ascii="仿宋_GB2312" w:eastAsia="仿宋_GB2312" w:cs="宋体"/>
          <w:color w:val="000000"/>
          <w:kern w:val="0"/>
          <w:sz w:val="32"/>
          <w:szCs w:val="32"/>
          <w:lang w:val="en-US" w:eastAsia="zh-CN"/>
        </w:rPr>
        <w:t>262.47万元</w:t>
      </w:r>
      <w:r>
        <w:rPr>
          <w:rFonts w:ascii="仿宋_GB2312" w:eastAsia="仿宋_GB2312" w:cs="宋体"/>
          <w:color w:val="000000"/>
          <w:kern w:val="0"/>
          <w:sz w:val="32"/>
          <w:szCs w:val="32"/>
        </w:rPr>
        <w:t>和日常公用经费</w:t>
      </w:r>
      <w:r>
        <w:rPr>
          <w:rFonts w:hint="eastAsia" w:ascii="仿宋_GB2312" w:eastAsia="仿宋_GB2312" w:cs="宋体"/>
          <w:color w:val="000000"/>
          <w:kern w:val="0"/>
          <w:sz w:val="32"/>
          <w:szCs w:val="32"/>
          <w:lang w:val="en-US" w:eastAsia="zh-CN"/>
        </w:rPr>
        <w:t>13.12万元</w:t>
      </w:r>
      <w:r>
        <w:rPr>
          <w:rFonts w:ascii="仿宋_GB2312" w:eastAsia="仿宋_GB2312" w:cs="宋体"/>
          <w:color w:val="000000"/>
          <w:kern w:val="0"/>
          <w:sz w:val="32"/>
          <w:szCs w:val="32"/>
        </w:rPr>
        <w:t>；项目支出23.54万元，主要为</w:t>
      </w:r>
      <w:r>
        <w:rPr>
          <w:rFonts w:hint="eastAsia" w:ascii="仿宋_GB2312" w:eastAsia="仿宋_GB2312" w:cs="宋体"/>
          <w:color w:val="000000"/>
          <w:kern w:val="0"/>
          <w:sz w:val="32"/>
          <w:szCs w:val="32"/>
        </w:rPr>
        <w:t>广阳之声人员经费</w:t>
      </w:r>
      <w:r>
        <w:rPr>
          <w:rFonts w:hint="eastAsia" w:ascii="仿宋_GB2312" w:eastAsia="仿宋_GB2312" w:cs="宋体"/>
          <w:color w:val="000000"/>
          <w:kern w:val="0"/>
          <w:sz w:val="32"/>
          <w:szCs w:val="32"/>
          <w:lang w:eastAsia="zh-CN"/>
        </w:rPr>
        <w:t>、媒体新平台建设费</w:t>
      </w:r>
      <w:r>
        <w:rPr>
          <w:rFonts w:ascii="仿宋_GB2312" w:eastAsia="仿宋_GB2312" w:cs="宋体"/>
          <w:color w:val="000000"/>
          <w:kern w:val="0"/>
          <w:sz w:val="32"/>
          <w:szCs w:val="32"/>
        </w:rPr>
        <w:t>。</w:t>
      </w:r>
    </w:p>
    <w:p>
      <w:pPr>
        <w:widowControl/>
        <w:spacing w:line="570" w:lineRule="exact"/>
        <w:ind w:firstLine="643" w:firstLineChars="200"/>
        <w:jc w:val="left"/>
        <w:rPr>
          <w:rFonts w:ascii="楷体_GB2312" w:eastAsia="楷体_GB2312" w:cs="宋体"/>
          <w:b/>
          <w:bCs/>
          <w:color w:val="000000"/>
          <w:kern w:val="0"/>
          <w:sz w:val="32"/>
          <w:szCs w:val="32"/>
        </w:rPr>
      </w:pPr>
      <w:r>
        <w:rPr>
          <w:rFonts w:hint="eastAsia" w:ascii="楷体_GB2312" w:eastAsia="楷体_GB2312" w:cs="宋体"/>
          <w:b/>
          <w:bCs/>
          <w:color w:val="000000"/>
          <w:kern w:val="0"/>
          <w:sz w:val="32"/>
          <w:szCs w:val="32"/>
        </w:rPr>
        <w:t>3、比上年增减情况</w:t>
      </w:r>
    </w:p>
    <w:p>
      <w:pPr>
        <w:widowControl/>
        <w:spacing w:line="570" w:lineRule="exact"/>
        <w:ind w:firstLine="640" w:firstLineChars="200"/>
        <w:jc w:val="left"/>
        <w:rPr>
          <w:rFonts w:ascii="黑体" w:eastAsia="黑体" w:cs="宋体"/>
          <w:b/>
          <w:bCs/>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年预算收支安排299.13万元，较201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年预算增加16.</w:t>
      </w:r>
      <w:r>
        <w:rPr>
          <w:rFonts w:ascii="仿宋_GB2312" w:eastAsia="仿宋_GB2312" w:cs="宋体"/>
          <w:color w:val="000000"/>
          <w:kern w:val="0"/>
          <w:sz w:val="32"/>
          <w:szCs w:val="32"/>
        </w:rPr>
        <w:t>05</w:t>
      </w:r>
      <w:r>
        <w:rPr>
          <w:rFonts w:hint="eastAsia" w:ascii="仿宋_GB2312" w:eastAsia="仿宋_GB2312" w:cs="宋体"/>
          <w:color w:val="000000"/>
          <w:kern w:val="0"/>
          <w:sz w:val="32"/>
          <w:szCs w:val="32"/>
        </w:rPr>
        <w:t>万元，其中：基本支出增加8.61万元，主要为增加人员工资支出；项目支出增加7.44万元，主要增加新媒体平台</w:t>
      </w:r>
      <w:r>
        <w:rPr>
          <w:rFonts w:ascii="仿宋_GB2312" w:eastAsia="仿宋_GB2312" w:cs="宋体"/>
          <w:color w:val="000000"/>
          <w:kern w:val="0"/>
          <w:sz w:val="32"/>
          <w:szCs w:val="32"/>
        </w:rPr>
        <w:t>项目支出</w:t>
      </w:r>
      <w:r>
        <w:rPr>
          <w:rFonts w:hint="eastAsia" w:ascii="仿宋_GB2312" w:eastAsia="仿宋_GB2312" w:cs="宋体"/>
          <w:color w:val="000000"/>
          <w:kern w:val="0"/>
          <w:sz w:val="32"/>
          <w:szCs w:val="32"/>
        </w:rPr>
        <w:t>。</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p>
    <w:p>
      <w:pPr>
        <w:widowControl/>
        <w:spacing w:line="570" w:lineRule="exac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年预算安排我部门机关运行经费0.66万元，其中办公经费0.66万元，其他业务费0万元。主要用于办公区的日常维修、办公用房水电费、办公用房取暖费、办公用房物业管理费等日常运行支出</w:t>
      </w:r>
      <w:r>
        <w:rPr>
          <w:rFonts w:ascii="仿宋_GB2312" w:eastAsia="仿宋_GB2312" w:cs="宋体"/>
          <w:color w:val="000000"/>
          <w:kern w:val="0"/>
          <w:sz w:val="32"/>
          <w:szCs w:val="32"/>
        </w:rPr>
        <w:t>。</w:t>
      </w:r>
    </w:p>
    <w:p>
      <w:pPr>
        <w:widowControl/>
        <w:spacing w:line="570" w:lineRule="exact"/>
        <w:jc w:val="left"/>
        <w:rPr>
          <w:rFonts w:ascii="黑体" w:eastAsia="黑体" w:cs="宋体"/>
          <w:b/>
          <w:bCs/>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autoSpaceDE w:val="0"/>
        <w:autoSpaceDN w:val="0"/>
        <w:adjustRightInd w:val="0"/>
        <w:spacing w:line="570" w:lineRule="exact"/>
        <w:ind w:left="198" w:firstLine="640" w:firstLineChars="200"/>
        <w:jc w:val="left"/>
        <w:rPr>
          <w:rFonts w:hint="eastAsia" w:ascii="仿宋_GB2312" w:eastAsia="仿宋_GB2312" w:cs="宋体"/>
          <w:b/>
          <w:bCs/>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年，我部门“三公”经费预算安排2.3万元，其中因公出国（境）费0万元；公务用车购置及运维费2.3万元（其中：公务用车购置费为0万元，公务用车运行费为2.3万元)；公务接待费0万元。</w:t>
      </w:r>
      <w:r>
        <w:rPr>
          <w:rFonts w:ascii="仿宋_GB2312" w:eastAsia="仿宋_GB2312" w:cs="宋体"/>
          <w:color w:val="000000"/>
          <w:kern w:val="0"/>
          <w:sz w:val="32"/>
          <w:szCs w:val="32"/>
        </w:rPr>
        <w:t>较</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年增加2.3万元，主要原因是单位采访任务繁重、公务用车使用增加。</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楷体_GB2312" w:eastAsia="楷体_GB2312" w:cs="宋体"/>
          <w:b/>
          <w:bCs/>
          <w:color w:val="000000"/>
          <w:kern w:val="0"/>
          <w:sz w:val="32"/>
          <w:szCs w:val="32"/>
        </w:rPr>
        <w:t>总体目标</w:t>
      </w:r>
      <w:r>
        <w:rPr>
          <w:rFonts w:hint="eastAsia" w:ascii="仿宋_GB2312" w:eastAsia="仿宋_GB2312" w:cs="宋体"/>
          <w:b/>
          <w:bCs/>
          <w:color w:val="000000"/>
          <w:kern w:val="0"/>
          <w:sz w:val="32"/>
          <w:szCs w:val="32"/>
        </w:rPr>
        <w:t>：</w:t>
      </w:r>
    </w:p>
    <w:p>
      <w:pPr>
        <w:autoSpaceDE w:val="0"/>
        <w:autoSpaceDN w:val="0"/>
        <w:adjustRightInd w:val="0"/>
        <w:spacing w:line="570" w:lineRule="exact"/>
        <w:ind w:left="198" w:firstLine="640" w:firstLineChars="200"/>
        <w:jc w:val="left"/>
        <w:rPr>
          <w:rFonts w:hint="eastAsia" w:ascii="仿宋_GB2312" w:eastAsia="仿宋_GB2312" w:cs="宋体"/>
          <w:bCs/>
          <w:color w:val="000000"/>
          <w:kern w:val="0"/>
          <w:sz w:val="32"/>
          <w:szCs w:val="32"/>
        </w:rPr>
      </w:pPr>
      <w:r>
        <w:rPr>
          <w:rFonts w:hint="eastAsia" w:ascii="仿宋_GB2312" w:eastAsia="仿宋_GB2312" w:cs="宋体"/>
          <w:bCs/>
          <w:color w:val="000000"/>
          <w:kern w:val="0"/>
          <w:sz w:val="32"/>
          <w:szCs w:val="32"/>
        </w:rPr>
        <w:t>（一）发挥职能、做好内宣，为全区改革开放和现代化建设提供强有力的舆论支持。</w:t>
      </w:r>
    </w:p>
    <w:p>
      <w:pPr>
        <w:autoSpaceDE w:val="0"/>
        <w:autoSpaceDN w:val="0"/>
        <w:adjustRightInd w:val="0"/>
        <w:spacing w:line="570" w:lineRule="exact"/>
        <w:ind w:left="198" w:firstLine="640" w:firstLineChars="200"/>
        <w:jc w:val="left"/>
        <w:rPr>
          <w:rFonts w:hint="eastAsia" w:ascii="仿宋_GB2312" w:eastAsia="仿宋_GB2312" w:cs="宋体"/>
          <w:bCs/>
          <w:color w:val="000000"/>
          <w:kern w:val="0"/>
          <w:sz w:val="32"/>
          <w:szCs w:val="32"/>
        </w:rPr>
      </w:pPr>
      <w:r>
        <w:rPr>
          <w:rFonts w:hint="eastAsia" w:ascii="仿宋_GB2312" w:eastAsia="仿宋_GB2312" w:cs="宋体"/>
          <w:bCs/>
          <w:color w:val="000000"/>
          <w:kern w:val="0"/>
          <w:sz w:val="32"/>
          <w:szCs w:val="32"/>
        </w:rPr>
        <w:t>（二）主动作为、扩大外宣。增加广播电视节目数量，努力推出一大批题材、体裁、行事风格多样的优秀作品。</w:t>
      </w:r>
    </w:p>
    <w:p>
      <w:pPr>
        <w:autoSpaceDE w:val="0"/>
        <w:autoSpaceDN w:val="0"/>
        <w:adjustRightInd w:val="0"/>
        <w:spacing w:line="570" w:lineRule="exact"/>
        <w:ind w:left="198" w:firstLine="640" w:firstLineChars="200"/>
        <w:jc w:val="left"/>
        <w:rPr>
          <w:rFonts w:hint="eastAsia" w:ascii="仿宋_GB2312" w:eastAsia="仿宋_GB2312" w:cs="宋体"/>
          <w:bCs/>
          <w:color w:val="000000"/>
          <w:kern w:val="0"/>
          <w:sz w:val="32"/>
          <w:szCs w:val="32"/>
        </w:rPr>
      </w:pPr>
      <w:r>
        <w:rPr>
          <w:rFonts w:hint="eastAsia" w:ascii="仿宋_GB2312" w:eastAsia="仿宋_GB2312" w:cs="宋体"/>
          <w:bCs/>
          <w:color w:val="000000"/>
          <w:kern w:val="0"/>
          <w:sz w:val="32"/>
          <w:szCs w:val="32"/>
        </w:rPr>
        <w:t>（三）全面实施依法行政，明显提高广播电视的管理能力和水平，基本形式以《广播电视法》为核心的比较完备的法律法规体系，形成比较完善的自我约束机制，使管理工作规模化、科学化、法制化。</w:t>
      </w:r>
    </w:p>
    <w:p>
      <w:pPr>
        <w:autoSpaceDE w:val="0"/>
        <w:autoSpaceDN w:val="0"/>
        <w:adjustRightInd w:val="0"/>
        <w:spacing w:line="570" w:lineRule="exact"/>
        <w:ind w:left="198" w:firstLine="640" w:firstLineChars="200"/>
        <w:jc w:val="left"/>
        <w:rPr>
          <w:rFonts w:hint="eastAsia" w:ascii="仿宋_GB2312" w:eastAsia="仿宋_GB2312" w:cs="宋体"/>
          <w:bCs/>
          <w:color w:val="000000"/>
          <w:kern w:val="0"/>
          <w:sz w:val="32"/>
          <w:szCs w:val="32"/>
        </w:rPr>
      </w:pPr>
      <w:r>
        <w:rPr>
          <w:rFonts w:hint="eastAsia" w:ascii="仿宋_GB2312" w:eastAsia="仿宋_GB2312" w:cs="宋体"/>
          <w:bCs/>
          <w:color w:val="000000"/>
          <w:kern w:val="0"/>
          <w:sz w:val="32"/>
          <w:szCs w:val="32"/>
        </w:rPr>
        <w:t>（四）加快广播电视科技创新步伐，提升科学规模和水平，启动广播电视数字化。</w:t>
      </w:r>
    </w:p>
    <w:p>
      <w:pPr>
        <w:autoSpaceDE w:val="0"/>
        <w:autoSpaceDN w:val="0"/>
        <w:adjustRightInd w:val="0"/>
        <w:spacing w:line="570" w:lineRule="exact"/>
        <w:ind w:left="198" w:firstLine="640" w:firstLineChars="200"/>
        <w:jc w:val="left"/>
        <w:rPr>
          <w:rFonts w:hint="eastAsia" w:ascii="仿宋_GB2312" w:eastAsia="仿宋_GB2312" w:cs="宋体"/>
          <w:bCs/>
          <w:color w:val="000000"/>
          <w:kern w:val="0"/>
          <w:sz w:val="32"/>
          <w:szCs w:val="32"/>
        </w:rPr>
      </w:pPr>
      <w:r>
        <w:rPr>
          <w:rFonts w:hint="eastAsia" w:ascii="仿宋_GB2312" w:eastAsia="仿宋_GB2312" w:cs="宋体"/>
          <w:bCs/>
          <w:color w:val="000000"/>
          <w:kern w:val="0"/>
          <w:sz w:val="32"/>
          <w:szCs w:val="32"/>
        </w:rPr>
        <w:t>（五）明显提高广播电视队伍的思想素质和业务水平，形成素质优良，结构合理的专业队伍。</w:t>
      </w:r>
    </w:p>
    <w:p>
      <w:pPr>
        <w:autoSpaceDE w:val="0"/>
        <w:autoSpaceDN w:val="0"/>
        <w:adjustRightInd w:val="0"/>
        <w:spacing w:line="570" w:lineRule="exact"/>
        <w:jc w:val="left"/>
        <w:rPr>
          <w:rFonts w:hint="eastAsia" w:ascii="仿宋_GB2312" w:eastAsia="仿宋_GB2312" w:cs="宋体"/>
          <w:bCs/>
          <w:color w:val="000000"/>
          <w:kern w:val="0"/>
          <w:sz w:val="32"/>
          <w:szCs w:val="32"/>
        </w:rPr>
      </w:pPr>
      <w:r>
        <w:rPr>
          <w:rFonts w:hint="eastAsia" w:ascii="楷体_GB2312" w:eastAsia="楷体_GB2312" w:cs="宋体"/>
          <w:b/>
          <w:bCs/>
          <w:color w:val="000000"/>
          <w:kern w:val="0"/>
          <w:sz w:val="32"/>
          <w:szCs w:val="32"/>
        </w:rPr>
        <w:t>职责分类绩效目标</w:t>
      </w:r>
      <w:r>
        <w:rPr>
          <w:rFonts w:hint="eastAsia" w:ascii="仿宋_GB2312" w:eastAsia="仿宋_GB2312" w:cs="宋体"/>
          <w:bCs/>
          <w:color w:val="000000"/>
          <w:kern w:val="0"/>
          <w:sz w:val="32"/>
          <w:szCs w:val="32"/>
        </w:rPr>
        <w:t>：</w:t>
      </w:r>
    </w:p>
    <w:p>
      <w:pPr>
        <w:autoSpaceDE w:val="0"/>
        <w:autoSpaceDN w:val="0"/>
        <w:adjustRightInd w:val="0"/>
        <w:spacing w:line="570" w:lineRule="exact"/>
        <w:ind w:left="198" w:firstLine="640" w:firstLineChars="200"/>
        <w:jc w:val="left"/>
        <w:rPr>
          <w:rFonts w:hint="eastAsia" w:ascii="仿宋_GB2312" w:eastAsia="仿宋_GB2312" w:cs="宋体"/>
          <w:bCs/>
          <w:color w:val="000000"/>
          <w:kern w:val="0"/>
          <w:sz w:val="32"/>
          <w:szCs w:val="32"/>
        </w:rPr>
      </w:pPr>
      <w:r>
        <w:rPr>
          <w:rFonts w:hint="eastAsia" w:ascii="仿宋_GB2312" w:eastAsia="仿宋_GB2312" w:cs="宋体"/>
          <w:bCs/>
          <w:color w:val="000000"/>
          <w:kern w:val="0"/>
          <w:sz w:val="32"/>
          <w:szCs w:val="32"/>
        </w:rPr>
        <w:t>（一）全面贯彻落实广播电视宣传的各项政策，坚持正确的舆论导向。以廊坊电视台“广阳时讯”栏目为阵地。宣传广阳区委区政府经济、文化方面的方针、政策，先进典型经验等。为广阳的经济发展创造良好的政治舆论环境。</w:t>
      </w:r>
    </w:p>
    <w:p>
      <w:pPr>
        <w:autoSpaceDE w:val="0"/>
        <w:autoSpaceDN w:val="0"/>
        <w:adjustRightInd w:val="0"/>
        <w:spacing w:line="570" w:lineRule="exact"/>
        <w:ind w:left="198" w:firstLine="640" w:firstLineChars="200"/>
        <w:jc w:val="left"/>
        <w:rPr>
          <w:rFonts w:hint="eastAsia" w:ascii="仿宋_GB2312" w:eastAsia="仿宋_GB2312" w:cs="宋体"/>
          <w:bCs/>
          <w:color w:val="000000"/>
          <w:kern w:val="0"/>
          <w:sz w:val="32"/>
          <w:szCs w:val="32"/>
        </w:rPr>
      </w:pPr>
      <w:r>
        <w:rPr>
          <w:rFonts w:hint="eastAsia" w:ascii="仿宋_GB2312" w:eastAsia="仿宋_GB2312" w:cs="宋体"/>
          <w:bCs/>
          <w:color w:val="000000"/>
          <w:kern w:val="0"/>
          <w:sz w:val="32"/>
          <w:szCs w:val="32"/>
        </w:rPr>
        <w:t>（二）加强对全区卫星地面接收站的管理。监督检查卫星电视节目的收转情况，加强对技术人员进行政治业务培训，确保不出现政治和责任事故。</w:t>
      </w:r>
    </w:p>
    <w:p>
      <w:pPr>
        <w:autoSpaceDE w:val="0"/>
        <w:autoSpaceDN w:val="0"/>
        <w:adjustRightInd w:val="0"/>
        <w:spacing w:line="570" w:lineRule="exact"/>
        <w:ind w:left="198" w:firstLine="640" w:firstLineChars="200"/>
        <w:jc w:val="left"/>
        <w:rPr>
          <w:rFonts w:hint="eastAsia" w:ascii="仿宋_GB2312" w:eastAsia="仿宋_GB2312" w:cs="宋体"/>
          <w:bCs/>
          <w:color w:val="000000"/>
          <w:kern w:val="0"/>
          <w:sz w:val="32"/>
          <w:szCs w:val="32"/>
        </w:rPr>
      </w:pPr>
      <w:r>
        <w:rPr>
          <w:rFonts w:hint="eastAsia" w:ascii="仿宋_GB2312" w:eastAsia="仿宋_GB2312" w:cs="宋体"/>
          <w:bCs/>
          <w:color w:val="000000"/>
          <w:kern w:val="0"/>
          <w:sz w:val="32"/>
          <w:szCs w:val="32"/>
        </w:rPr>
        <w:t>(三)加强广播电视队伍建设，提高全面政治、业务素质，当好政府联系群众的纽带，内强素质，外树形象，努力提高全局整体水平。</w:t>
      </w:r>
    </w:p>
    <w:p>
      <w:pPr>
        <w:autoSpaceDE w:val="0"/>
        <w:autoSpaceDN w:val="0"/>
        <w:adjustRightInd w:val="0"/>
        <w:spacing w:line="570" w:lineRule="exact"/>
        <w:ind w:left="198" w:firstLine="640" w:firstLineChars="200"/>
        <w:jc w:val="left"/>
        <w:rPr>
          <w:rFonts w:hint="eastAsia" w:ascii="仿宋_GB2312" w:eastAsia="仿宋_GB2312" w:cs="宋体"/>
          <w:bCs/>
          <w:color w:val="000000"/>
          <w:kern w:val="0"/>
          <w:sz w:val="32"/>
          <w:szCs w:val="32"/>
        </w:rPr>
      </w:pPr>
      <w:r>
        <w:rPr>
          <w:rFonts w:hint="eastAsia" w:ascii="仿宋_GB2312" w:eastAsia="仿宋_GB2312" w:cs="宋体"/>
          <w:bCs/>
          <w:color w:val="000000"/>
          <w:kern w:val="0"/>
          <w:sz w:val="32"/>
          <w:szCs w:val="32"/>
        </w:rPr>
        <w:t>（四）根据我区实际情况，充分利用区位优势，研究制定发展规划，为广播电视事业的发展壮大做好后勤保障。</w:t>
      </w:r>
    </w:p>
    <w:p>
      <w:pPr>
        <w:autoSpaceDE w:val="0"/>
        <w:autoSpaceDN w:val="0"/>
        <w:adjustRightInd w:val="0"/>
        <w:spacing w:line="570" w:lineRule="exact"/>
        <w:ind w:left="198" w:firstLine="640" w:firstLineChars="200"/>
        <w:jc w:val="left"/>
        <w:rPr>
          <w:rFonts w:hint="eastAsia" w:ascii="仿宋_GB2312" w:eastAsia="仿宋_GB2312" w:cs="宋体"/>
          <w:bCs/>
          <w:color w:val="000000"/>
          <w:kern w:val="0"/>
          <w:sz w:val="32"/>
          <w:szCs w:val="32"/>
        </w:rPr>
      </w:pPr>
      <w:r>
        <w:rPr>
          <w:rFonts w:hint="eastAsia" w:ascii="仿宋_GB2312" w:eastAsia="仿宋_GB2312" w:cs="宋体"/>
          <w:bCs/>
          <w:color w:val="000000"/>
          <w:kern w:val="0"/>
          <w:sz w:val="32"/>
          <w:szCs w:val="32"/>
        </w:rPr>
        <w:t>（五）承办区委区政府交办的其他事项。配合好区委区政府各项中心工作。</w:t>
      </w:r>
    </w:p>
    <w:p>
      <w:pPr>
        <w:autoSpaceDE w:val="0"/>
        <w:autoSpaceDN w:val="0"/>
        <w:adjustRightInd w:val="0"/>
        <w:spacing w:line="570" w:lineRule="exact"/>
        <w:jc w:val="left"/>
        <w:rPr>
          <w:rFonts w:hint="eastAsia" w:ascii="楷体_GB2312" w:eastAsia="楷体_GB2312" w:cs="宋体"/>
          <w:b/>
          <w:bCs/>
          <w:color w:val="000000"/>
          <w:kern w:val="0"/>
          <w:sz w:val="32"/>
          <w:szCs w:val="32"/>
        </w:rPr>
      </w:pPr>
      <w:r>
        <w:rPr>
          <w:rFonts w:hint="eastAsia" w:ascii="楷体_GB2312" w:eastAsia="楷体_GB2312" w:cs="宋体"/>
          <w:b/>
          <w:color w:val="000000"/>
          <w:kern w:val="0"/>
          <w:sz w:val="32"/>
          <w:szCs w:val="32"/>
        </w:rPr>
        <w:t>部门职责-工作活动绩效目标</w:t>
      </w:r>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535廊坊市广阳区广播电视局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restart"/>
            <w:shd w:val="clear" w:color="auto" w:fill="auto"/>
            <w:vAlign w:val="center"/>
          </w:tcPr>
          <w:p>
            <w:pPr>
              <w:widowControl/>
              <w:spacing w:line="570" w:lineRule="exact"/>
              <w:jc w:val="left"/>
              <w:rPr>
                <w:rFonts w:hint="eastAsia" w:ascii="宋体" w:hAnsi="宋体" w:eastAsia="仿宋_GB2312" w:cs="宋体"/>
                <w:b/>
                <w:color w:val="000000"/>
                <w:kern w:val="0"/>
                <w:szCs w:val="21"/>
              </w:rPr>
            </w:pPr>
            <w:r>
              <w:rPr>
                <w:rFonts w:hint="eastAsia" w:ascii="宋体" w:hAnsi="宋体" w:eastAsia="仿宋_GB2312" w:cs="宋体"/>
                <w:b/>
                <w:color w:val="000000"/>
                <w:kern w:val="0"/>
                <w:szCs w:val="21"/>
              </w:rPr>
              <w:t>职责活动</w:t>
            </w:r>
          </w:p>
        </w:tc>
        <w:tc>
          <w:tcPr>
            <w:tcW w:w="1276" w:type="dxa"/>
            <w:vMerge w:val="restart"/>
            <w:shd w:val="clear" w:color="auto" w:fill="auto"/>
            <w:vAlign w:val="center"/>
          </w:tcPr>
          <w:p>
            <w:pPr>
              <w:widowControl/>
              <w:spacing w:line="570" w:lineRule="exact"/>
              <w:jc w:val="left"/>
              <w:rPr>
                <w:rFonts w:hint="eastAsia" w:ascii="宋体" w:hAnsi="宋体" w:eastAsia="仿宋_GB2312" w:cs="宋体"/>
                <w:b/>
                <w:color w:val="000000"/>
                <w:kern w:val="0"/>
                <w:szCs w:val="21"/>
              </w:rPr>
            </w:pPr>
            <w:r>
              <w:rPr>
                <w:rFonts w:hint="eastAsia" w:ascii="宋体" w:hAnsi="宋体" w:eastAsia="仿宋_GB2312" w:cs="宋体"/>
                <w:b/>
                <w:color w:val="000000"/>
                <w:kern w:val="0"/>
                <w:szCs w:val="21"/>
              </w:rPr>
              <w:t>年度预算数</w:t>
            </w:r>
          </w:p>
        </w:tc>
        <w:tc>
          <w:tcPr>
            <w:tcW w:w="2976" w:type="dxa"/>
            <w:vMerge w:val="restart"/>
            <w:shd w:val="clear" w:color="auto" w:fill="auto"/>
            <w:vAlign w:val="center"/>
          </w:tcPr>
          <w:p>
            <w:pPr>
              <w:widowControl/>
              <w:spacing w:line="570" w:lineRule="exact"/>
              <w:jc w:val="left"/>
              <w:rPr>
                <w:rFonts w:hint="eastAsia" w:ascii="宋体" w:hAnsi="宋体" w:eastAsia="仿宋_GB2312" w:cs="宋体"/>
                <w:b/>
                <w:color w:val="000000"/>
                <w:kern w:val="0"/>
                <w:szCs w:val="21"/>
              </w:rPr>
            </w:pPr>
            <w:r>
              <w:rPr>
                <w:rFonts w:hint="eastAsia" w:ascii="宋体" w:hAnsi="宋体" w:eastAsia="仿宋_GB2312" w:cs="宋体"/>
                <w:b/>
                <w:color w:val="000000"/>
                <w:kern w:val="0"/>
                <w:szCs w:val="21"/>
              </w:rPr>
              <w:t>内容描述</w:t>
            </w:r>
          </w:p>
        </w:tc>
        <w:tc>
          <w:tcPr>
            <w:tcW w:w="2976" w:type="dxa"/>
            <w:vMerge w:val="restart"/>
            <w:shd w:val="clear" w:color="auto" w:fill="auto"/>
            <w:vAlign w:val="center"/>
          </w:tcPr>
          <w:p>
            <w:pPr>
              <w:widowControl/>
              <w:spacing w:line="570" w:lineRule="exact"/>
              <w:jc w:val="left"/>
              <w:rPr>
                <w:rFonts w:hint="eastAsia" w:ascii="宋体" w:hAnsi="宋体" w:eastAsia="仿宋_GB2312" w:cs="宋体"/>
                <w:b/>
                <w:color w:val="000000"/>
                <w:kern w:val="0"/>
                <w:szCs w:val="21"/>
              </w:rPr>
            </w:pPr>
            <w:r>
              <w:rPr>
                <w:rFonts w:hint="eastAsia" w:ascii="宋体" w:hAnsi="宋体" w:eastAsia="仿宋_GB2312" w:cs="宋体"/>
                <w:b/>
                <w:color w:val="000000"/>
                <w:kern w:val="0"/>
                <w:szCs w:val="21"/>
              </w:rPr>
              <w:t>绩效目标</w:t>
            </w:r>
          </w:p>
        </w:tc>
        <w:tc>
          <w:tcPr>
            <w:tcW w:w="1417" w:type="dxa"/>
            <w:vMerge w:val="restart"/>
            <w:shd w:val="clear" w:color="auto" w:fill="auto"/>
            <w:vAlign w:val="center"/>
          </w:tcPr>
          <w:p>
            <w:pPr>
              <w:widowControl/>
              <w:spacing w:line="570" w:lineRule="exact"/>
              <w:jc w:val="left"/>
              <w:rPr>
                <w:rFonts w:hint="eastAsia" w:ascii="宋体" w:hAnsi="宋体" w:eastAsia="仿宋_GB2312" w:cs="宋体"/>
                <w:b/>
                <w:color w:val="000000"/>
                <w:kern w:val="0"/>
                <w:szCs w:val="21"/>
              </w:rPr>
            </w:pPr>
            <w:r>
              <w:rPr>
                <w:rFonts w:hint="eastAsia" w:ascii="宋体" w:hAnsi="宋体" w:eastAsia="仿宋_GB2312" w:cs="宋体"/>
                <w:b/>
                <w:color w:val="000000"/>
                <w:kern w:val="0"/>
                <w:szCs w:val="21"/>
              </w:rPr>
              <w:t>绩效指标</w:t>
            </w:r>
          </w:p>
        </w:tc>
        <w:tc>
          <w:tcPr>
            <w:tcW w:w="2948" w:type="dxa"/>
            <w:gridSpan w:val="4"/>
            <w:shd w:val="clear" w:color="auto" w:fill="auto"/>
            <w:vAlign w:val="center"/>
          </w:tcPr>
          <w:p>
            <w:pPr>
              <w:widowControl/>
              <w:spacing w:line="570" w:lineRule="exact"/>
              <w:jc w:val="left"/>
              <w:rPr>
                <w:rFonts w:hint="eastAsia" w:ascii="宋体" w:hAnsi="宋体" w:eastAsia="仿宋_GB2312" w:cs="宋体"/>
                <w:b/>
                <w:color w:val="000000"/>
                <w:kern w:val="0"/>
                <w:szCs w:val="21"/>
              </w:rPr>
            </w:pPr>
            <w:r>
              <w:rPr>
                <w:rFonts w:hint="eastAsia" w:ascii="宋体" w:hAnsi="宋体" w:eastAsia="仿宋_GB2312" w:cs="宋体"/>
                <w:b/>
                <w:color w:val="000000"/>
                <w:kern w:val="0"/>
                <w:szCs w:val="21"/>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vMerge w:val="continue"/>
            <w:shd w:val="clear" w:color="auto" w:fill="auto"/>
            <w:vAlign w:val="center"/>
          </w:tcPr>
          <w:p/>
        </w:tc>
        <w:tc>
          <w:tcPr>
            <w:tcW w:w="737" w:type="dxa"/>
            <w:shd w:val="clear" w:color="auto" w:fill="auto"/>
            <w:vAlign w:val="center"/>
          </w:tcPr>
          <w:p>
            <w:pPr>
              <w:widowControl/>
              <w:spacing w:line="570" w:lineRule="exact"/>
              <w:jc w:val="left"/>
              <w:rPr>
                <w:rFonts w:hint="eastAsia" w:ascii="宋体" w:hAnsi="宋体" w:eastAsia="仿宋_GB2312" w:cs="宋体"/>
                <w:b/>
                <w:color w:val="000000"/>
                <w:kern w:val="0"/>
                <w:szCs w:val="21"/>
              </w:rPr>
            </w:pPr>
            <w:r>
              <w:rPr>
                <w:rFonts w:hint="eastAsia" w:ascii="宋体" w:hAnsi="宋体" w:eastAsia="仿宋_GB2312" w:cs="宋体"/>
                <w:b/>
                <w:color w:val="000000"/>
                <w:kern w:val="0"/>
                <w:szCs w:val="21"/>
              </w:rPr>
              <w:t>优</w:t>
            </w:r>
          </w:p>
        </w:tc>
        <w:tc>
          <w:tcPr>
            <w:tcW w:w="737" w:type="dxa"/>
            <w:shd w:val="clear" w:color="auto" w:fill="auto"/>
            <w:vAlign w:val="center"/>
          </w:tcPr>
          <w:p>
            <w:pPr>
              <w:widowControl/>
              <w:spacing w:line="570" w:lineRule="exact"/>
              <w:jc w:val="left"/>
              <w:rPr>
                <w:rFonts w:hint="eastAsia" w:ascii="宋体" w:hAnsi="宋体" w:eastAsia="仿宋_GB2312" w:cs="宋体"/>
                <w:b/>
                <w:color w:val="000000"/>
                <w:kern w:val="0"/>
                <w:szCs w:val="21"/>
              </w:rPr>
            </w:pPr>
            <w:r>
              <w:rPr>
                <w:rFonts w:hint="eastAsia" w:ascii="宋体" w:hAnsi="宋体" w:eastAsia="仿宋_GB2312" w:cs="宋体"/>
                <w:b/>
                <w:color w:val="000000"/>
                <w:kern w:val="0"/>
                <w:szCs w:val="21"/>
              </w:rPr>
              <w:t>良</w:t>
            </w:r>
          </w:p>
        </w:tc>
        <w:tc>
          <w:tcPr>
            <w:tcW w:w="737" w:type="dxa"/>
            <w:shd w:val="clear" w:color="auto" w:fill="auto"/>
            <w:vAlign w:val="center"/>
          </w:tcPr>
          <w:p>
            <w:pPr>
              <w:widowControl/>
              <w:spacing w:line="570" w:lineRule="exact"/>
              <w:jc w:val="left"/>
              <w:rPr>
                <w:rFonts w:hint="eastAsia" w:ascii="宋体" w:hAnsi="宋体" w:eastAsia="仿宋_GB2312" w:cs="宋体"/>
                <w:b/>
                <w:color w:val="000000"/>
                <w:kern w:val="0"/>
                <w:szCs w:val="21"/>
              </w:rPr>
            </w:pPr>
            <w:r>
              <w:rPr>
                <w:rFonts w:hint="eastAsia" w:ascii="宋体" w:hAnsi="宋体" w:eastAsia="仿宋_GB2312" w:cs="宋体"/>
                <w:b/>
                <w:color w:val="000000"/>
                <w:kern w:val="0"/>
                <w:szCs w:val="21"/>
              </w:rPr>
              <w:t>中</w:t>
            </w:r>
          </w:p>
        </w:tc>
        <w:tc>
          <w:tcPr>
            <w:tcW w:w="737" w:type="dxa"/>
            <w:shd w:val="clear" w:color="auto" w:fill="auto"/>
            <w:vAlign w:val="center"/>
          </w:tcPr>
          <w:p>
            <w:pPr>
              <w:widowControl/>
              <w:spacing w:line="570" w:lineRule="exact"/>
              <w:jc w:val="left"/>
              <w:rPr>
                <w:rFonts w:hint="eastAsia" w:ascii="宋体" w:hAnsi="宋体" w:eastAsia="仿宋_GB2312" w:cs="宋体"/>
                <w:b/>
                <w:color w:val="000000"/>
                <w:kern w:val="0"/>
                <w:szCs w:val="21"/>
              </w:rPr>
            </w:pPr>
            <w:r>
              <w:rPr>
                <w:rFonts w:hint="eastAsia" w:ascii="宋体" w:hAnsi="宋体" w:eastAsia="仿宋_GB2312" w:cs="宋体"/>
                <w:b/>
                <w:color w:val="000000"/>
                <w:kern w:val="0"/>
                <w:szCs w:val="21"/>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widowControl/>
              <w:spacing w:line="570" w:lineRule="exact"/>
              <w:jc w:val="left"/>
              <w:rPr>
                <w:rFonts w:hint="eastAsia" w:ascii="宋体" w:hAnsi="宋体" w:eastAsia="仿宋_GB2312" w:cs="宋体"/>
                <w:b/>
                <w:color w:val="000000"/>
                <w:kern w:val="0"/>
                <w:szCs w:val="21"/>
              </w:rPr>
            </w:pPr>
            <w:r>
              <w:rPr>
                <w:rFonts w:hint="eastAsia" w:ascii="宋体" w:hAnsi="宋体" w:eastAsia="仿宋_GB2312" w:cs="宋体"/>
                <w:b/>
                <w:color w:val="000000"/>
                <w:kern w:val="0"/>
                <w:szCs w:val="21"/>
              </w:rPr>
              <w:t>一、新闻出版广播影视事业建设</w:t>
            </w:r>
          </w:p>
        </w:tc>
        <w:tc>
          <w:tcPr>
            <w:tcW w:w="1276" w:type="dxa"/>
            <w:shd w:val="clear" w:color="auto" w:fill="auto"/>
            <w:vAlign w:val="center"/>
          </w:tcPr>
          <w:p>
            <w:pPr>
              <w:widowControl/>
              <w:spacing w:line="570" w:lineRule="exact"/>
              <w:jc w:val="left"/>
              <w:rPr>
                <w:rFonts w:hint="eastAsia" w:ascii="宋体" w:hAnsi="宋体" w:eastAsia="仿宋_GB2312" w:cs="宋体"/>
                <w:color w:val="000000"/>
                <w:kern w:val="0"/>
                <w:szCs w:val="21"/>
              </w:rPr>
            </w:pPr>
          </w:p>
        </w:tc>
        <w:tc>
          <w:tcPr>
            <w:tcW w:w="2976"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指导全区广播电影电视和信息网络视听节目服务科技工作，负责监管全区广播电影电视节目传输、监测和安全播出，指导督查全区广播电影电视安全运行工作。负责全区地面卫星节目接收监管。负责采编、制作《广阳时讯》新闻节目。</w:t>
            </w:r>
          </w:p>
        </w:tc>
        <w:tc>
          <w:tcPr>
            <w:tcW w:w="2976"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宣传党的路线、方针、政策和区委、区政府的工作部署，坚持正确舆论导向，发挥主流媒体作用；办好各类广播电视节目；开展各类宣传工作；配合市台采访报道工作并提供各类节目；承担区委、区政府专题片等的创作生产。负责中央和省广播电视节目的传输发射；负责上星节目的传输；承担有关频率传输发射试验任务；在全区建立广播电视安全播出保障体系，负责全区广播电视、互联网安全优质播出管理。</w:t>
            </w:r>
          </w:p>
        </w:tc>
        <w:tc>
          <w:tcPr>
            <w:tcW w:w="141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widowControl/>
              <w:spacing w:line="570" w:lineRule="exact"/>
              <w:jc w:val="left"/>
              <w:rPr>
                <w:rFonts w:hint="eastAsia" w:ascii="宋体" w:hAnsi="宋体" w:eastAsia="仿宋_GB2312" w:cs="宋体"/>
                <w:b/>
                <w:color w:val="000000"/>
                <w:kern w:val="0"/>
                <w:szCs w:val="21"/>
              </w:rPr>
            </w:pPr>
            <w:r>
              <w:rPr>
                <w:rFonts w:hint="eastAsia" w:ascii="宋体" w:hAnsi="宋体" w:eastAsia="仿宋_GB2312" w:cs="宋体"/>
                <w:b/>
                <w:color w:val="000000"/>
                <w:kern w:val="0"/>
                <w:szCs w:val="21"/>
              </w:rPr>
              <w:t>　　1、广播影视节目制作播出</w:t>
            </w:r>
          </w:p>
        </w:tc>
        <w:tc>
          <w:tcPr>
            <w:tcW w:w="1276" w:type="dxa"/>
            <w:vMerge w:val="restart"/>
            <w:shd w:val="clear" w:color="auto" w:fill="auto"/>
            <w:vAlign w:val="center"/>
          </w:tcPr>
          <w:p>
            <w:pPr>
              <w:widowControl/>
              <w:spacing w:line="570" w:lineRule="exact"/>
              <w:jc w:val="left"/>
              <w:rPr>
                <w:rFonts w:hint="eastAsia" w:ascii="宋体" w:hAnsi="宋体" w:eastAsia="仿宋_GB2312" w:cs="宋体"/>
                <w:color w:val="000000"/>
                <w:kern w:val="0"/>
                <w:szCs w:val="21"/>
              </w:rPr>
            </w:pPr>
          </w:p>
        </w:tc>
        <w:tc>
          <w:tcPr>
            <w:tcW w:w="2976" w:type="dxa"/>
            <w:vMerge w:val="restart"/>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坚持正确舆论导向，发挥主流媒体作用，加强内容形式以及方法手段创新，提高广播电视覆盖人口规模与数量，提升区电台、县电视台影响力。</w:t>
            </w:r>
          </w:p>
        </w:tc>
        <w:tc>
          <w:tcPr>
            <w:tcW w:w="2976" w:type="dxa"/>
            <w:vMerge w:val="restart"/>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坚持正确舆论导向，发挥主流媒体作用,为人民群众提供丰富多彩的精品电视节目。</w:t>
            </w:r>
          </w:p>
        </w:tc>
        <w:tc>
          <w:tcPr>
            <w:tcW w:w="141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完成区委区政府的宣传任务</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100.00%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90.00%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80.00%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宣传报道任务完成率</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100.00%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90.00%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80.00%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坚持正确的舆论导向，宣传广阳</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100.00%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90.00%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80.00%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综合覆盖率</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100.00%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90.00%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80.00%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widowControl/>
              <w:spacing w:line="570" w:lineRule="exact"/>
              <w:jc w:val="left"/>
              <w:rPr>
                <w:rFonts w:hint="eastAsia" w:ascii="宋体" w:hAnsi="宋体" w:eastAsia="仿宋_GB2312" w:cs="宋体"/>
                <w:b/>
                <w:color w:val="000000"/>
                <w:kern w:val="0"/>
                <w:szCs w:val="21"/>
              </w:rPr>
            </w:pPr>
            <w:r>
              <w:rPr>
                <w:rFonts w:hint="eastAsia" w:ascii="宋体" w:hAnsi="宋体" w:eastAsia="仿宋_GB2312" w:cs="宋体"/>
                <w:b/>
                <w:color w:val="000000"/>
                <w:kern w:val="0"/>
                <w:szCs w:val="21"/>
              </w:rPr>
              <w:t>　　2、广播影视节目制作能力建设</w:t>
            </w:r>
          </w:p>
        </w:tc>
        <w:tc>
          <w:tcPr>
            <w:tcW w:w="1276" w:type="dxa"/>
            <w:vMerge w:val="restart"/>
            <w:shd w:val="clear" w:color="auto" w:fill="auto"/>
            <w:vAlign w:val="center"/>
          </w:tcPr>
          <w:p>
            <w:pPr>
              <w:widowControl/>
              <w:spacing w:line="570" w:lineRule="exact"/>
              <w:jc w:val="left"/>
              <w:rPr>
                <w:rFonts w:hint="eastAsia" w:ascii="宋体" w:hAnsi="宋体" w:eastAsia="仿宋_GB2312" w:cs="宋体"/>
                <w:color w:val="000000"/>
                <w:kern w:val="0"/>
                <w:szCs w:val="21"/>
              </w:rPr>
            </w:pPr>
          </w:p>
        </w:tc>
        <w:tc>
          <w:tcPr>
            <w:tcW w:w="2976" w:type="dxa"/>
            <w:vMerge w:val="restart"/>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“加强技术管理、技术升级改造及设备设施维护，开展新技术应用。向移动互联网跨越发展，打造智能生活服务类客户端，促进媒体融合。”</w:t>
            </w:r>
          </w:p>
        </w:tc>
        <w:tc>
          <w:tcPr>
            <w:tcW w:w="2976" w:type="dxa"/>
            <w:vMerge w:val="restart"/>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加快新媒体建设,保障设备正常运转,实现安全播出，实现省级台内容资源互通互享，提高节目制作能力和传播能力</w:t>
            </w:r>
          </w:p>
        </w:tc>
        <w:tc>
          <w:tcPr>
            <w:tcW w:w="141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设备数字化率及高清升级效果</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100.00%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90.00%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80.00%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设备运行指标</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100.00%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90.00%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80.00%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停播率</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100.00%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90.00%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80.00%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widowControl/>
              <w:spacing w:line="570" w:lineRule="exact"/>
              <w:jc w:val="left"/>
              <w:rPr>
                <w:rFonts w:hint="eastAsia" w:ascii="宋体" w:hAnsi="宋体" w:eastAsia="仿宋_GB2312" w:cs="宋体"/>
                <w:b/>
                <w:color w:val="000000"/>
                <w:kern w:val="0"/>
                <w:szCs w:val="21"/>
              </w:rPr>
            </w:pPr>
            <w:r>
              <w:rPr>
                <w:rFonts w:hint="eastAsia" w:ascii="宋体" w:hAnsi="宋体" w:eastAsia="仿宋_GB2312" w:cs="宋体"/>
                <w:b/>
                <w:color w:val="000000"/>
                <w:kern w:val="0"/>
                <w:szCs w:val="21"/>
              </w:rPr>
              <w:t>　　3、安全播出管理</w:t>
            </w:r>
          </w:p>
        </w:tc>
        <w:tc>
          <w:tcPr>
            <w:tcW w:w="1276" w:type="dxa"/>
            <w:vMerge w:val="restart"/>
            <w:shd w:val="clear" w:color="auto" w:fill="auto"/>
            <w:vAlign w:val="center"/>
          </w:tcPr>
          <w:p>
            <w:pPr>
              <w:widowControl/>
              <w:spacing w:line="570" w:lineRule="exact"/>
              <w:jc w:val="left"/>
              <w:rPr>
                <w:rFonts w:hint="eastAsia" w:ascii="宋体" w:hAnsi="宋体" w:eastAsia="仿宋_GB2312" w:cs="宋体"/>
                <w:color w:val="000000"/>
                <w:kern w:val="0"/>
                <w:szCs w:val="21"/>
              </w:rPr>
            </w:pPr>
          </w:p>
        </w:tc>
        <w:tc>
          <w:tcPr>
            <w:tcW w:w="2976" w:type="dxa"/>
            <w:vMerge w:val="restart"/>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对广播电视节目传输、覆盖及网络和新媒体内容等的安全播出情况进行监管。</w:t>
            </w:r>
          </w:p>
        </w:tc>
        <w:tc>
          <w:tcPr>
            <w:tcW w:w="2976" w:type="dxa"/>
            <w:vMerge w:val="restart"/>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在全区建立起完备的广播电视安全播出保障体系，规范广播电视、互联网等新媒体音视频内容，提高节目质量</w:t>
            </w:r>
          </w:p>
        </w:tc>
        <w:tc>
          <w:tcPr>
            <w:tcW w:w="141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非法无线信号测定</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100.00%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90.00%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80.00%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数据处理正确率</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100.00%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90.00%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80.00%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停播率</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100.00%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90.00%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80.00%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参数指标测算</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100.00%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90.00%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80.00%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widowControl/>
              <w:spacing w:line="570" w:lineRule="exact"/>
              <w:jc w:val="left"/>
              <w:rPr>
                <w:rFonts w:hint="eastAsia" w:ascii="宋体" w:hAnsi="宋体" w:eastAsia="仿宋_GB2312" w:cs="宋体"/>
                <w:b/>
                <w:color w:val="000000"/>
                <w:kern w:val="0"/>
                <w:szCs w:val="21"/>
              </w:rPr>
            </w:pPr>
            <w:r>
              <w:rPr>
                <w:rFonts w:hint="eastAsia" w:ascii="宋体" w:hAnsi="宋体" w:eastAsia="仿宋_GB2312" w:cs="宋体"/>
                <w:b/>
                <w:color w:val="000000"/>
                <w:kern w:val="0"/>
                <w:szCs w:val="21"/>
              </w:rPr>
              <w:t>二、政务管理</w:t>
            </w:r>
          </w:p>
        </w:tc>
        <w:tc>
          <w:tcPr>
            <w:tcW w:w="1276"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23.54</w:t>
            </w:r>
          </w:p>
        </w:tc>
        <w:tc>
          <w:tcPr>
            <w:tcW w:w="2976"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负责系统综合业务管理和机关综合事务管理。</w:t>
            </w:r>
          </w:p>
        </w:tc>
        <w:tc>
          <w:tcPr>
            <w:tcW w:w="2976"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新闻出版广播影视方针政策、事业产业发展规划、行业标准制定及实施检查；新闻出版影视机构和业务以及出版物、广播影视节目内容和质量监督管理；依法设定行政许可并指导市场经营活动的监督管理工作；开展新闻出版广播影视科研、教育培训</w:t>
            </w:r>
          </w:p>
        </w:tc>
        <w:tc>
          <w:tcPr>
            <w:tcW w:w="141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widowControl/>
              <w:spacing w:line="570" w:lineRule="exact"/>
              <w:jc w:val="left"/>
              <w:rPr>
                <w:rFonts w:hint="eastAsia" w:ascii="宋体" w:hAnsi="宋体" w:eastAsia="仿宋_GB2312" w:cs="宋体"/>
                <w:b/>
                <w:color w:val="000000"/>
                <w:kern w:val="0"/>
                <w:szCs w:val="21"/>
              </w:rPr>
            </w:pPr>
            <w:r>
              <w:rPr>
                <w:rFonts w:hint="eastAsia" w:ascii="宋体" w:hAnsi="宋体" w:eastAsia="仿宋_GB2312" w:cs="宋体"/>
                <w:b/>
                <w:color w:val="000000"/>
                <w:kern w:val="0"/>
                <w:szCs w:val="21"/>
              </w:rPr>
              <w:t>　　1、综合业务管理</w:t>
            </w:r>
          </w:p>
        </w:tc>
        <w:tc>
          <w:tcPr>
            <w:tcW w:w="1276" w:type="dxa"/>
            <w:vMerge w:val="restart"/>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23.54</w:t>
            </w:r>
          </w:p>
        </w:tc>
        <w:tc>
          <w:tcPr>
            <w:tcW w:w="2976" w:type="dxa"/>
            <w:vMerge w:val="restart"/>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负责新闻出版广播影视方针政策、发展规划、行业标准制定，实施检查；开展新闻出版影视行业监督管理；实施行政许可，指导市场经营活动；推进体制机制改革。</w:t>
            </w:r>
          </w:p>
        </w:tc>
        <w:tc>
          <w:tcPr>
            <w:tcW w:w="2976" w:type="dxa"/>
            <w:vMerge w:val="restart"/>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确保各项业务工作谋划到位、顺利开展。</w:t>
            </w:r>
          </w:p>
        </w:tc>
        <w:tc>
          <w:tcPr>
            <w:tcW w:w="141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违规违法查处完成率</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100.00%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90.00%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80.00%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工作落实程度</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100.00%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90.00%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80.00%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项目审批完成率</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100.00%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90.00%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80.00%</w:t>
            </w:r>
          </w:p>
        </w:tc>
        <w:tc>
          <w:tcPr>
            <w:tcW w:w="737" w:type="dxa"/>
            <w:shd w:val="clear" w:color="auto" w:fill="auto"/>
            <w:vAlign w:val="center"/>
          </w:tcPr>
          <w:p>
            <w:pPr>
              <w:widowControl/>
              <w:spacing w:line="570" w:lineRule="exact"/>
              <w:jc w:val="left"/>
              <w:rPr>
                <w:rFonts w:hint="eastAsia" w:ascii="宋体" w:hAnsi="宋体" w:eastAsia="仿宋_GB2312" w:cs="宋体"/>
                <w:color w:val="000000"/>
                <w:kern w:val="0"/>
                <w:szCs w:val="21"/>
              </w:rPr>
            </w:pPr>
            <w:r>
              <w:rPr>
                <w:rFonts w:hint="eastAsia" w:ascii="宋体" w:hAnsi="宋体" w:eastAsia="仿宋_GB2312" w:cs="宋体"/>
                <w:color w:val="000000"/>
                <w:kern w:val="0"/>
                <w:szCs w:val="21"/>
              </w:rPr>
              <w:t>60.00%</w:t>
            </w:r>
          </w:p>
        </w:tc>
      </w:tr>
    </w:tbl>
    <w:p>
      <w:pPr>
        <w:widowControl/>
        <w:spacing w:line="570" w:lineRule="exact"/>
        <w:jc w:val="left"/>
        <w:rPr>
          <w:rFonts w:ascii="宋体" w:hAnsi="宋体" w:eastAsia="仿宋_GB2312" w:cs="宋体"/>
          <w:color w:val="000000"/>
          <w:kern w:val="0"/>
          <w:sz w:val="32"/>
          <w:szCs w:val="32"/>
        </w:rPr>
      </w:pPr>
    </w:p>
    <w:p>
      <w:pPr>
        <w:widowControl/>
        <w:spacing w:line="570" w:lineRule="exact"/>
        <w:jc w:val="left"/>
        <w:rPr>
          <w:rFonts w:ascii="宋体" w:hAnsi="宋体" w:eastAsia="仿宋_GB2312" w:cs="宋体"/>
          <w:color w:val="000000"/>
          <w:kern w:val="0"/>
          <w:sz w:val="32"/>
          <w:szCs w:val="32"/>
        </w:rPr>
      </w:pPr>
    </w:p>
    <w:p>
      <w:pPr>
        <w:spacing w:line="570" w:lineRule="exact"/>
        <w:outlineLvl w:val="0"/>
        <w:rPr>
          <w:rFonts w:ascii="仿宋_GB2312" w:eastAsia="仿宋_GB2312" w:cs="宋体"/>
          <w:color w:val="000000"/>
          <w:kern w:val="0"/>
          <w:sz w:val="32"/>
          <w:szCs w:val="32"/>
        </w:rPr>
      </w:pPr>
      <w:r>
        <w:rPr>
          <w:rFonts w:ascii="黑体" w:eastAsia="黑体" w:cs="宋体"/>
          <w:b/>
          <w:bCs/>
          <w:color w:val="000000"/>
          <w:kern w:val="0"/>
          <w:sz w:val="32"/>
          <w:szCs w:val="32"/>
        </w:rPr>
        <w:br w:type="page"/>
      </w: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年，我部门未安排政府采购预算。</w:t>
      </w:r>
    </w:p>
    <w:tbl>
      <w:tblPr>
        <w:tblStyle w:val="4"/>
        <w:tblW w:w="137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1"/>
        <w:gridCol w:w="1013"/>
        <w:gridCol w:w="834"/>
        <w:gridCol w:w="1327"/>
        <w:gridCol w:w="834"/>
        <w:gridCol w:w="834"/>
        <w:gridCol w:w="856"/>
        <w:gridCol w:w="853"/>
        <w:gridCol w:w="853"/>
        <w:gridCol w:w="853"/>
        <w:gridCol w:w="776"/>
        <w:gridCol w:w="837"/>
        <w:gridCol w:w="837"/>
        <w:gridCol w:w="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69"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left"/>
              <w:rPr>
                <w:rFonts w:hint="eastAsia" w:ascii="仿宋_GB2312" w:eastAsia="仿宋_GB2312" w:cs="Times New Roman"/>
                <w:sz w:val="28"/>
                <w:szCs w:val="28"/>
              </w:rPr>
            </w:pPr>
            <w:r>
              <w:rPr>
                <w:rFonts w:hint="eastAsia" w:ascii="方正小标宋_GBK" w:eastAsia="方正小标宋_GBK"/>
                <w:sz w:val="24"/>
                <w:lang w:val="en-US" w:eastAsia="zh-CN"/>
              </w:rPr>
              <w:t>535</w:t>
            </w:r>
            <w:r>
              <w:rPr>
                <w:rFonts w:hint="eastAsia" w:ascii="方正小标宋_GBK" w:eastAsia="方正小标宋_GBK"/>
                <w:sz w:val="24"/>
              </w:rPr>
              <w:t>廊坊市广阳</w:t>
            </w:r>
            <w:r>
              <w:rPr>
                <w:rFonts w:hint="eastAsia" w:ascii="方正小标宋_GBK" w:eastAsia="方正小标宋_GBK" w:cs="宋体"/>
                <w:kern w:val="0"/>
                <w:sz w:val="24"/>
              </w:rPr>
              <w:t>区廊坊市广阳区广播电视局</w:t>
            </w:r>
          </w:p>
        </w:tc>
        <w:tc>
          <w:tcPr>
            <w:tcW w:w="5796"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right"/>
              <w:rPr>
                <w:rFonts w:hint="eastAsia"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84" w:type="dxa"/>
            <w:gridSpan w:val="2"/>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834"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采购物品名称</w:t>
            </w:r>
          </w:p>
        </w:tc>
        <w:tc>
          <w:tcPr>
            <w:tcW w:w="1327"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834"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数量  单位</w:t>
            </w:r>
          </w:p>
        </w:tc>
        <w:tc>
          <w:tcPr>
            <w:tcW w:w="834"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数量</w:t>
            </w:r>
          </w:p>
        </w:tc>
        <w:tc>
          <w:tcPr>
            <w:tcW w:w="856"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单价</w:t>
            </w:r>
          </w:p>
        </w:tc>
        <w:tc>
          <w:tcPr>
            <w:tcW w:w="5796" w:type="dxa"/>
            <w:gridSpan w:val="7"/>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1"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项目名称</w:t>
            </w:r>
          </w:p>
        </w:tc>
        <w:tc>
          <w:tcPr>
            <w:tcW w:w="1013"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预算资金</w:t>
            </w: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总计</w:t>
            </w:r>
          </w:p>
        </w:tc>
        <w:tc>
          <w:tcPr>
            <w:tcW w:w="4156" w:type="dxa"/>
            <w:gridSpan w:val="5"/>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787"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71" w:type="dxa"/>
            <w:vMerge w:val="continue"/>
            <w:shd w:val="clear" w:color="auto" w:fill="auto"/>
            <w:vAlign w:val="center"/>
          </w:tcPr>
          <w:p/>
        </w:tc>
        <w:tc>
          <w:tcPr>
            <w:tcW w:w="1013" w:type="dxa"/>
            <w:vMerge w:val="continue"/>
            <w:shd w:val="clear" w:color="auto" w:fill="auto"/>
            <w:vAlign w:val="center"/>
          </w:tcP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continue"/>
            <w:shd w:val="clear" w:color="auto" w:fill="auto"/>
            <w:vAlign w:val="center"/>
          </w:tcPr>
          <w:p/>
        </w:tc>
        <w:tc>
          <w:tcPr>
            <w:tcW w:w="853" w:type="dxa"/>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合计</w:t>
            </w:r>
          </w:p>
        </w:tc>
        <w:tc>
          <w:tcPr>
            <w:tcW w:w="853" w:type="dxa"/>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776" w:type="dxa"/>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基金预算拨款</w:t>
            </w:r>
          </w:p>
        </w:tc>
        <w:tc>
          <w:tcPr>
            <w:tcW w:w="837" w:type="dxa"/>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财政专户核拨</w:t>
            </w:r>
          </w:p>
        </w:tc>
        <w:tc>
          <w:tcPr>
            <w:tcW w:w="837" w:type="dxa"/>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其他来源收入</w:t>
            </w:r>
          </w:p>
        </w:tc>
        <w:tc>
          <w:tcPr>
            <w:tcW w:w="787"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合　计</w:t>
            </w:r>
          </w:p>
        </w:tc>
        <w:tc>
          <w:tcPr>
            <w:tcW w:w="1013" w:type="dxa"/>
            <w:shd w:val="clear" w:color="auto" w:fill="auto"/>
            <w:vAlign w:val="center"/>
          </w:tcPr>
          <w:p>
            <w:pPr>
              <w:spacing w:line="570" w:lineRule="exact"/>
              <w:jc w:val="center"/>
              <w:rPr>
                <w:rFonts w:hint="eastAsia" w:ascii="仿宋_GB2312" w:eastAsia="仿宋_GB2312" w:cs="Times New Roman"/>
                <w:b/>
                <w:sz w:val="28"/>
                <w:szCs w:val="28"/>
              </w:rPr>
            </w:pPr>
          </w:p>
        </w:tc>
        <w:tc>
          <w:tcPr>
            <w:tcW w:w="834" w:type="dxa"/>
            <w:shd w:val="clear" w:color="auto" w:fill="auto"/>
            <w:vAlign w:val="center"/>
          </w:tcPr>
          <w:p>
            <w:pPr>
              <w:spacing w:line="570" w:lineRule="exact"/>
              <w:jc w:val="center"/>
              <w:rPr>
                <w:rFonts w:hint="eastAsia" w:ascii="仿宋_GB2312" w:eastAsia="仿宋_GB2312" w:cs="Times New Roman"/>
                <w:b/>
                <w:sz w:val="28"/>
                <w:szCs w:val="28"/>
              </w:rPr>
            </w:pPr>
          </w:p>
        </w:tc>
        <w:tc>
          <w:tcPr>
            <w:tcW w:w="1327" w:type="dxa"/>
            <w:shd w:val="clear" w:color="auto" w:fill="auto"/>
            <w:vAlign w:val="center"/>
          </w:tcPr>
          <w:p>
            <w:pPr>
              <w:spacing w:line="570" w:lineRule="exact"/>
              <w:jc w:val="center"/>
              <w:rPr>
                <w:rFonts w:hint="eastAsia" w:ascii="仿宋_GB2312" w:eastAsia="仿宋_GB2312" w:cs="Times New Roman"/>
                <w:b/>
                <w:sz w:val="28"/>
                <w:szCs w:val="28"/>
              </w:rPr>
            </w:pPr>
          </w:p>
        </w:tc>
        <w:tc>
          <w:tcPr>
            <w:tcW w:w="834" w:type="dxa"/>
            <w:shd w:val="clear" w:color="auto" w:fill="auto"/>
            <w:vAlign w:val="center"/>
          </w:tcPr>
          <w:p>
            <w:pPr>
              <w:spacing w:line="570" w:lineRule="exact"/>
              <w:jc w:val="center"/>
              <w:rPr>
                <w:rFonts w:hint="eastAsia" w:ascii="仿宋_GB2312" w:eastAsia="仿宋_GB2312" w:cs="Times New Roman"/>
                <w:b/>
                <w:sz w:val="28"/>
                <w:szCs w:val="28"/>
              </w:rPr>
            </w:pPr>
          </w:p>
        </w:tc>
        <w:tc>
          <w:tcPr>
            <w:tcW w:w="834" w:type="dxa"/>
            <w:shd w:val="clear" w:color="auto" w:fill="auto"/>
            <w:vAlign w:val="center"/>
          </w:tcPr>
          <w:p>
            <w:pPr>
              <w:spacing w:line="570" w:lineRule="exact"/>
              <w:jc w:val="center"/>
              <w:rPr>
                <w:rFonts w:hint="eastAsia" w:ascii="仿宋_GB2312" w:eastAsia="仿宋_GB2312" w:cs="Times New Roman"/>
                <w:b/>
                <w:sz w:val="28"/>
                <w:szCs w:val="28"/>
              </w:rPr>
            </w:pPr>
          </w:p>
        </w:tc>
        <w:tc>
          <w:tcPr>
            <w:tcW w:w="856" w:type="dxa"/>
            <w:shd w:val="clear" w:color="auto" w:fill="auto"/>
            <w:vAlign w:val="center"/>
          </w:tcPr>
          <w:p>
            <w:pPr>
              <w:spacing w:line="570" w:lineRule="exact"/>
              <w:jc w:val="center"/>
              <w:rPr>
                <w:rFonts w:hint="eastAsia" w:ascii="仿宋_GB2312" w:eastAsia="仿宋_GB2312" w:cs="Times New Roman"/>
                <w:b/>
                <w:sz w:val="28"/>
                <w:szCs w:val="28"/>
              </w:rPr>
            </w:pPr>
          </w:p>
        </w:tc>
        <w:tc>
          <w:tcPr>
            <w:tcW w:w="853" w:type="dxa"/>
            <w:shd w:val="clear" w:color="auto" w:fill="auto"/>
            <w:vAlign w:val="center"/>
          </w:tcPr>
          <w:p>
            <w:pPr>
              <w:spacing w:line="570" w:lineRule="exact"/>
              <w:jc w:val="center"/>
              <w:rPr>
                <w:rFonts w:hint="eastAsia" w:ascii="仿宋_GB2312" w:eastAsia="仿宋_GB2312" w:cs="Times New Roman"/>
                <w:b/>
                <w:sz w:val="28"/>
                <w:szCs w:val="28"/>
              </w:rPr>
            </w:pPr>
          </w:p>
        </w:tc>
        <w:tc>
          <w:tcPr>
            <w:tcW w:w="853" w:type="dxa"/>
            <w:shd w:val="clear" w:color="auto" w:fill="auto"/>
            <w:vAlign w:val="center"/>
          </w:tcPr>
          <w:p>
            <w:pPr>
              <w:spacing w:line="570" w:lineRule="exact"/>
              <w:jc w:val="center"/>
              <w:rPr>
                <w:rFonts w:hint="eastAsia" w:ascii="仿宋_GB2312" w:eastAsia="仿宋_GB2312" w:cs="Times New Roman"/>
                <w:b/>
                <w:sz w:val="28"/>
                <w:szCs w:val="28"/>
              </w:rPr>
            </w:pPr>
          </w:p>
        </w:tc>
        <w:tc>
          <w:tcPr>
            <w:tcW w:w="853" w:type="dxa"/>
            <w:shd w:val="clear" w:color="auto" w:fill="auto"/>
            <w:vAlign w:val="center"/>
          </w:tcPr>
          <w:p>
            <w:pPr>
              <w:spacing w:line="570" w:lineRule="exact"/>
              <w:jc w:val="center"/>
              <w:rPr>
                <w:rFonts w:hint="eastAsia" w:ascii="仿宋_GB2312" w:eastAsia="仿宋_GB2312" w:cs="Times New Roman"/>
                <w:b/>
                <w:sz w:val="28"/>
                <w:szCs w:val="28"/>
              </w:rPr>
            </w:pPr>
          </w:p>
        </w:tc>
        <w:tc>
          <w:tcPr>
            <w:tcW w:w="776" w:type="dxa"/>
            <w:shd w:val="clear" w:color="auto" w:fill="auto"/>
            <w:vAlign w:val="center"/>
          </w:tcPr>
          <w:p>
            <w:pPr>
              <w:spacing w:line="570" w:lineRule="exact"/>
              <w:jc w:val="center"/>
              <w:rPr>
                <w:rFonts w:hint="eastAsia" w:ascii="仿宋_GB2312" w:eastAsia="仿宋_GB2312" w:cs="Times New Roman"/>
                <w:b/>
                <w:sz w:val="28"/>
                <w:szCs w:val="28"/>
              </w:rPr>
            </w:pPr>
          </w:p>
        </w:tc>
        <w:tc>
          <w:tcPr>
            <w:tcW w:w="837" w:type="dxa"/>
            <w:shd w:val="clear" w:color="auto" w:fill="auto"/>
            <w:vAlign w:val="center"/>
          </w:tcPr>
          <w:p>
            <w:pPr>
              <w:spacing w:line="570" w:lineRule="exact"/>
              <w:jc w:val="center"/>
              <w:rPr>
                <w:rFonts w:hint="eastAsia" w:ascii="仿宋_GB2312" w:eastAsia="仿宋_GB2312" w:cs="Times New Roman"/>
                <w:b/>
                <w:sz w:val="28"/>
                <w:szCs w:val="28"/>
              </w:rPr>
            </w:pPr>
          </w:p>
        </w:tc>
        <w:tc>
          <w:tcPr>
            <w:tcW w:w="837" w:type="dxa"/>
            <w:shd w:val="clear" w:color="auto" w:fill="auto"/>
            <w:vAlign w:val="center"/>
          </w:tcPr>
          <w:p>
            <w:pPr>
              <w:spacing w:line="570" w:lineRule="exact"/>
              <w:jc w:val="center"/>
              <w:rPr>
                <w:rFonts w:hint="eastAsia" w:ascii="仿宋_GB2312" w:eastAsia="仿宋_GB2312" w:cs="Times New Roman"/>
                <w:b/>
                <w:sz w:val="28"/>
                <w:szCs w:val="28"/>
              </w:rPr>
            </w:pPr>
          </w:p>
        </w:tc>
        <w:tc>
          <w:tcPr>
            <w:tcW w:w="787" w:type="dxa"/>
            <w:shd w:val="clear" w:color="auto" w:fill="auto"/>
            <w:vAlign w:val="center"/>
          </w:tcPr>
          <w:p>
            <w:pPr>
              <w:spacing w:line="570" w:lineRule="exact"/>
              <w:jc w:val="center"/>
              <w:rPr>
                <w:rFonts w:hint="eastAsia"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shd w:val="clear" w:color="auto" w:fill="auto"/>
            <w:vAlign w:val="center"/>
          </w:tcPr>
          <w:p>
            <w:pPr>
              <w:spacing w:line="570" w:lineRule="exact"/>
              <w:jc w:val="center"/>
              <w:rPr>
                <w:rFonts w:hint="eastAsia" w:ascii="仿宋_GB2312" w:eastAsia="仿宋_GB2312" w:cs="Times New Roman"/>
                <w:b/>
                <w:sz w:val="28"/>
                <w:szCs w:val="28"/>
              </w:rPr>
            </w:pPr>
          </w:p>
        </w:tc>
        <w:tc>
          <w:tcPr>
            <w:tcW w:w="1013" w:type="dxa"/>
            <w:shd w:val="clear" w:color="auto" w:fill="auto"/>
            <w:vAlign w:val="center"/>
          </w:tcPr>
          <w:p>
            <w:pPr>
              <w:spacing w:line="570" w:lineRule="exact"/>
              <w:jc w:val="center"/>
              <w:rPr>
                <w:rFonts w:hint="eastAsia" w:ascii="仿宋_GB2312" w:eastAsia="仿宋_GB2312" w:cs="Times New Roman"/>
                <w:b/>
                <w:sz w:val="28"/>
                <w:szCs w:val="28"/>
              </w:rPr>
            </w:pPr>
          </w:p>
        </w:tc>
        <w:tc>
          <w:tcPr>
            <w:tcW w:w="834" w:type="dxa"/>
            <w:shd w:val="clear" w:color="auto" w:fill="auto"/>
            <w:vAlign w:val="center"/>
          </w:tcPr>
          <w:p>
            <w:pPr>
              <w:spacing w:line="570" w:lineRule="exact"/>
              <w:jc w:val="center"/>
              <w:rPr>
                <w:rFonts w:hint="eastAsia" w:ascii="仿宋_GB2312" w:eastAsia="仿宋_GB2312" w:cs="Times New Roman"/>
                <w:b/>
                <w:sz w:val="28"/>
                <w:szCs w:val="28"/>
              </w:rPr>
            </w:pPr>
          </w:p>
        </w:tc>
        <w:tc>
          <w:tcPr>
            <w:tcW w:w="1327" w:type="dxa"/>
            <w:shd w:val="clear" w:color="auto" w:fill="auto"/>
            <w:vAlign w:val="center"/>
          </w:tcPr>
          <w:p>
            <w:pPr>
              <w:spacing w:line="570" w:lineRule="exact"/>
              <w:jc w:val="center"/>
              <w:rPr>
                <w:rFonts w:hint="eastAsia" w:ascii="仿宋_GB2312" w:eastAsia="仿宋_GB2312" w:cs="Times New Roman"/>
                <w:b/>
                <w:sz w:val="28"/>
                <w:szCs w:val="28"/>
              </w:rPr>
            </w:pPr>
          </w:p>
        </w:tc>
        <w:tc>
          <w:tcPr>
            <w:tcW w:w="834" w:type="dxa"/>
            <w:shd w:val="clear" w:color="auto" w:fill="auto"/>
            <w:vAlign w:val="center"/>
          </w:tcPr>
          <w:p>
            <w:pPr>
              <w:spacing w:line="570" w:lineRule="exact"/>
              <w:jc w:val="center"/>
              <w:rPr>
                <w:rFonts w:hint="eastAsia" w:ascii="仿宋_GB2312" w:eastAsia="仿宋_GB2312" w:cs="Times New Roman"/>
                <w:b/>
                <w:sz w:val="28"/>
                <w:szCs w:val="28"/>
              </w:rPr>
            </w:pPr>
          </w:p>
        </w:tc>
        <w:tc>
          <w:tcPr>
            <w:tcW w:w="834" w:type="dxa"/>
            <w:shd w:val="clear" w:color="auto" w:fill="auto"/>
            <w:vAlign w:val="center"/>
          </w:tcPr>
          <w:p>
            <w:pPr>
              <w:spacing w:line="570" w:lineRule="exact"/>
              <w:jc w:val="center"/>
              <w:rPr>
                <w:rFonts w:hint="eastAsia" w:ascii="仿宋_GB2312" w:eastAsia="仿宋_GB2312" w:cs="Times New Roman"/>
                <w:b/>
                <w:sz w:val="28"/>
                <w:szCs w:val="28"/>
              </w:rPr>
            </w:pPr>
          </w:p>
        </w:tc>
        <w:tc>
          <w:tcPr>
            <w:tcW w:w="856" w:type="dxa"/>
            <w:shd w:val="clear" w:color="auto" w:fill="auto"/>
            <w:vAlign w:val="center"/>
          </w:tcPr>
          <w:p>
            <w:pPr>
              <w:spacing w:line="570" w:lineRule="exact"/>
              <w:jc w:val="center"/>
              <w:rPr>
                <w:rFonts w:hint="eastAsia" w:ascii="仿宋_GB2312" w:eastAsia="仿宋_GB2312" w:cs="Times New Roman"/>
                <w:b/>
                <w:sz w:val="28"/>
                <w:szCs w:val="28"/>
              </w:rPr>
            </w:pPr>
          </w:p>
        </w:tc>
        <w:tc>
          <w:tcPr>
            <w:tcW w:w="853" w:type="dxa"/>
            <w:shd w:val="clear" w:color="auto" w:fill="auto"/>
            <w:vAlign w:val="center"/>
          </w:tcPr>
          <w:p>
            <w:pPr>
              <w:spacing w:line="570" w:lineRule="exact"/>
              <w:jc w:val="center"/>
              <w:rPr>
                <w:rFonts w:hint="eastAsia" w:ascii="仿宋_GB2312" w:eastAsia="仿宋_GB2312" w:cs="Times New Roman"/>
                <w:b/>
                <w:sz w:val="28"/>
                <w:szCs w:val="28"/>
              </w:rPr>
            </w:pPr>
          </w:p>
        </w:tc>
        <w:tc>
          <w:tcPr>
            <w:tcW w:w="853" w:type="dxa"/>
            <w:shd w:val="clear" w:color="auto" w:fill="auto"/>
            <w:vAlign w:val="center"/>
          </w:tcPr>
          <w:p>
            <w:pPr>
              <w:spacing w:line="570" w:lineRule="exact"/>
              <w:jc w:val="center"/>
              <w:rPr>
                <w:rFonts w:hint="eastAsia" w:ascii="仿宋_GB2312" w:eastAsia="仿宋_GB2312" w:cs="Times New Roman"/>
                <w:b/>
                <w:sz w:val="28"/>
                <w:szCs w:val="28"/>
              </w:rPr>
            </w:pPr>
          </w:p>
        </w:tc>
        <w:tc>
          <w:tcPr>
            <w:tcW w:w="853" w:type="dxa"/>
            <w:shd w:val="clear" w:color="auto" w:fill="auto"/>
            <w:vAlign w:val="center"/>
          </w:tcPr>
          <w:p>
            <w:pPr>
              <w:spacing w:line="570" w:lineRule="exact"/>
              <w:jc w:val="center"/>
              <w:rPr>
                <w:rFonts w:hint="eastAsia" w:ascii="仿宋_GB2312" w:eastAsia="仿宋_GB2312" w:cs="Times New Roman"/>
                <w:b/>
                <w:sz w:val="28"/>
                <w:szCs w:val="28"/>
              </w:rPr>
            </w:pPr>
          </w:p>
        </w:tc>
        <w:tc>
          <w:tcPr>
            <w:tcW w:w="776" w:type="dxa"/>
            <w:shd w:val="clear" w:color="auto" w:fill="auto"/>
            <w:vAlign w:val="center"/>
          </w:tcPr>
          <w:p>
            <w:pPr>
              <w:spacing w:line="570" w:lineRule="exact"/>
              <w:jc w:val="center"/>
              <w:rPr>
                <w:rFonts w:hint="eastAsia" w:ascii="仿宋_GB2312" w:eastAsia="仿宋_GB2312" w:cs="Times New Roman"/>
                <w:b/>
                <w:sz w:val="28"/>
                <w:szCs w:val="28"/>
              </w:rPr>
            </w:pPr>
          </w:p>
        </w:tc>
        <w:tc>
          <w:tcPr>
            <w:tcW w:w="837" w:type="dxa"/>
            <w:shd w:val="clear" w:color="auto" w:fill="auto"/>
            <w:vAlign w:val="center"/>
          </w:tcPr>
          <w:p>
            <w:pPr>
              <w:spacing w:line="570" w:lineRule="exact"/>
              <w:jc w:val="center"/>
              <w:rPr>
                <w:rFonts w:hint="eastAsia" w:ascii="仿宋_GB2312" w:eastAsia="仿宋_GB2312" w:cs="Times New Roman"/>
                <w:b/>
                <w:sz w:val="28"/>
                <w:szCs w:val="28"/>
              </w:rPr>
            </w:pPr>
          </w:p>
        </w:tc>
        <w:tc>
          <w:tcPr>
            <w:tcW w:w="837" w:type="dxa"/>
            <w:shd w:val="clear" w:color="auto" w:fill="auto"/>
            <w:vAlign w:val="center"/>
          </w:tcPr>
          <w:p>
            <w:pPr>
              <w:spacing w:line="570" w:lineRule="exact"/>
              <w:jc w:val="center"/>
              <w:rPr>
                <w:rFonts w:hint="eastAsia" w:ascii="仿宋_GB2312" w:eastAsia="仿宋_GB2312" w:cs="Times New Roman"/>
                <w:b/>
                <w:sz w:val="28"/>
                <w:szCs w:val="28"/>
              </w:rPr>
            </w:pPr>
          </w:p>
        </w:tc>
        <w:tc>
          <w:tcPr>
            <w:tcW w:w="787" w:type="dxa"/>
            <w:shd w:val="clear" w:color="auto" w:fill="auto"/>
            <w:vAlign w:val="center"/>
          </w:tcPr>
          <w:p>
            <w:pPr>
              <w:spacing w:line="570" w:lineRule="exact"/>
              <w:jc w:val="center"/>
              <w:rPr>
                <w:rFonts w:hint="eastAsia"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shd w:val="clear" w:color="auto" w:fill="auto"/>
            <w:vAlign w:val="center"/>
          </w:tcPr>
          <w:p>
            <w:pPr>
              <w:spacing w:line="570" w:lineRule="exact"/>
              <w:jc w:val="center"/>
              <w:rPr>
                <w:rFonts w:hint="eastAsia" w:ascii="仿宋_GB2312" w:eastAsia="仿宋_GB2312" w:cs="Times New Roman"/>
                <w:sz w:val="28"/>
                <w:szCs w:val="28"/>
              </w:rPr>
            </w:pPr>
          </w:p>
        </w:tc>
        <w:tc>
          <w:tcPr>
            <w:tcW w:w="1013" w:type="dxa"/>
            <w:shd w:val="clear" w:color="auto" w:fill="auto"/>
            <w:vAlign w:val="center"/>
          </w:tcPr>
          <w:p>
            <w:pPr>
              <w:spacing w:line="570" w:lineRule="exact"/>
              <w:jc w:val="center"/>
              <w:rPr>
                <w:rFonts w:hint="eastAsia" w:ascii="仿宋_GB2312" w:eastAsia="仿宋_GB2312" w:cs="Times New Roman"/>
                <w:sz w:val="28"/>
                <w:szCs w:val="28"/>
              </w:rPr>
            </w:pPr>
          </w:p>
        </w:tc>
        <w:tc>
          <w:tcPr>
            <w:tcW w:w="834" w:type="dxa"/>
            <w:shd w:val="clear" w:color="auto" w:fill="auto"/>
            <w:vAlign w:val="center"/>
          </w:tcPr>
          <w:p>
            <w:pPr>
              <w:spacing w:line="570" w:lineRule="exact"/>
              <w:jc w:val="center"/>
              <w:rPr>
                <w:rFonts w:hint="eastAsia" w:ascii="仿宋_GB2312" w:eastAsia="仿宋_GB2312" w:cs="Times New Roman"/>
                <w:sz w:val="28"/>
                <w:szCs w:val="28"/>
              </w:rPr>
            </w:pPr>
          </w:p>
        </w:tc>
        <w:tc>
          <w:tcPr>
            <w:tcW w:w="1327" w:type="dxa"/>
            <w:shd w:val="clear" w:color="auto" w:fill="auto"/>
            <w:vAlign w:val="center"/>
          </w:tcPr>
          <w:p>
            <w:pPr>
              <w:spacing w:line="570" w:lineRule="exact"/>
              <w:jc w:val="center"/>
              <w:rPr>
                <w:rFonts w:hint="eastAsia" w:ascii="仿宋_GB2312" w:eastAsia="仿宋_GB2312" w:cs="Times New Roman"/>
                <w:sz w:val="28"/>
                <w:szCs w:val="28"/>
              </w:rPr>
            </w:pPr>
          </w:p>
        </w:tc>
        <w:tc>
          <w:tcPr>
            <w:tcW w:w="834" w:type="dxa"/>
            <w:shd w:val="clear" w:color="auto" w:fill="auto"/>
            <w:vAlign w:val="center"/>
          </w:tcPr>
          <w:p>
            <w:pPr>
              <w:spacing w:line="570" w:lineRule="exact"/>
              <w:jc w:val="center"/>
              <w:rPr>
                <w:rFonts w:hint="eastAsia" w:ascii="仿宋_GB2312" w:eastAsia="仿宋_GB2312" w:cs="Times New Roman"/>
                <w:sz w:val="28"/>
                <w:szCs w:val="28"/>
              </w:rPr>
            </w:pPr>
          </w:p>
        </w:tc>
        <w:tc>
          <w:tcPr>
            <w:tcW w:w="834" w:type="dxa"/>
            <w:shd w:val="clear" w:color="auto" w:fill="auto"/>
            <w:vAlign w:val="center"/>
          </w:tcPr>
          <w:p>
            <w:pPr>
              <w:spacing w:line="570" w:lineRule="exact"/>
              <w:jc w:val="center"/>
              <w:rPr>
                <w:rFonts w:hint="eastAsia" w:ascii="仿宋_GB2312" w:eastAsia="仿宋_GB2312" w:cs="Times New Roman"/>
                <w:sz w:val="28"/>
                <w:szCs w:val="28"/>
              </w:rPr>
            </w:pPr>
          </w:p>
        </w:tc>
        <w:tc>
          <w:tcPr>
            <w:tcW w:w="856" w:type="dxa"/>
            <w:shd w:val="clear" w:color="auto" w:fill="auto"/>
            <w:vAlign w:val="center"/>
          </w:tcPr>
          <w:p>
            <w:pPr>
              <w:spacing w:line="570" w:lineRule="exact"/>
              <w:jc w:val="center"/>
              <w:rPr>
                <w:rFonts w:hint="eastAsia" w:ascii="仿宋_GB2312" w:eastAsia="仿宋_GB2312" w:cs="Times New Roman"/>
                <w:sz w:val="28"/>
                <w:szCs w:val="28"/>
              </w:rPr>
            </w:pPr>
          </w:p>
        </w:tc>
        <w:tc>
          <w:tcPr>
            <w:tcW w:w="853" w:type="dxa"/>
            <w:shd w:val="clear" w:color="auto" w:fill="auto"/>
            <w:vAlign w:val="center"/>
          </w:tcPr>
          <w:p>
            <w:pPr>
              <w:spacing w:line="570" w:lineRule="exact"/>
              <w:jc w:val="center"/>
              <w:rPr>
                <w:rFonts w:hint="eastAsia" w:ascii="仿宋_GB2312" w:eastAsia="仿宋_GB2312" w:cs="Times New Roman"/>
                <w:sz w:val="28"/>
                <w:szCs w:val="28"/>
              </w:rPr>
            </w:pPr>
          </w:p>
        </w:tc>
        <w:tc>
          <w:tcPr>
            <w:tcW w:w="853" w:type="dxa"/>
            <w:shd w:val="clear" w:color="auto" w:fill="auto"/>
            <w:vAlign w:val="center"/>
          </w:tcPr>
          <w:p>
            <w:pPr>
              <w:spacing w:line="570" w:lineRule="exact"/>
              <w:jc w:val="center"/>
              <w:rPr>
                <w:rFonts w:hint="eastAsia" w:ascii="仿宋_GB2312" w:eastAsia="仿宋_GB2312" w:cs="Times New Roman"/>
                <w:sz w:val="28"/>
                <w:szCs w:val="28"/>
              </w:rPr>
            </w:pPr>
          </w:p>
        </w:tc>
        <w:tc>
          <w:tcPr>
            <w:tcW w:w="853" w:type="dxa"/>
            <w:shd w:val="clear" w:color="auto" w:fill="auto"/>
            <w:vAlign w:val="center"/>
          </w:tcPr>
          <w:p>
            <w:pPr>
              <w:spacing w:line="570" w:lineRule="exact"/>
              <w:jc w:val="center"/>
              <w:rPr>
                <w:rFonts w:hint="eastAsia" w:ascii="仿宋_GB2312" w:eastAsia="仿宋_GB2312" w:cs="Times New Roman"/>
                <w:sz w:val="28"/>
                <w:szCs w:val="28"/>
              </w:rPr>
            </w:pPr>
          </w:p>
        </w:tc>
        <w:tc>
          <w:tcPr>
            <w:tcW w:w="776" w:type="dxa"/>
            <w:shd w:val="clear" w:color="auto" w:fill="auto"/>
            <w:vAlign w:val="center"/>
          </w:tcPr>
          <w:p>
            <w:pPr>
              <w:spacing w:line="570" w:lineRule="exact"/>
              <w:jc w:val="center"/>
              <w:rPr>
                <w:rFonts w:hint="eastAsia" w:ascii="仿宋_GB2312" w:eastAsia="仿宋_GB2312" w:cs="Times New Roman"/>
                <w:sz w:val="28"/>
                <w:szCs w:val="28"/>
              </w:rPr>
            </w:pPr>
          </w:p>
        </w:tc>
        <w:tc>
          <w:tcPr>
            <w:tcW w:w="837" w:type="dxa"/>
            <w:shd w:val="clear" w:color="auto" w:fill="auto"/>
            <w:vAlign w:val="center"/>
          </w:tcPr>
          <w:p>
            <w:pPr>
              <w:spacing w:line="570" w:lineRule="exact"/>
              <w:jc w:val="center"/>
              <w:rPr>
                <w:rFonts w:hint="eastAsia" w:ascii="仿宋_GB2312" w:eastAsia="仿宋_GB2312" w:cs="Times New Roman"/>
                <w:sz w:val="28"/>
                <w:szCs w:val="28"/>
              </w:rPr>
            </w:pPr>
          </w:p>
        </w:tc>
        <w:tc>
          <w:tcPr>
            <w:tcW w:w="837" w:type="dxa"/>
            <w:shd w:val="clear" w:color="auto" w:fill="auto"/>
            <w:vAlign w:val="center"/>
          </w:tcPr>
          <w:p>
            <w:pPr>
              <w:spacing w:line="570" w:lineRule="exact"/>
              <w:jc w:val="center"/>
              <w:rPr>
                <w:rFonts w:hint="eastAsia" w:ascii="仿宋_GB2312" w:eastAsia="仿宋_GB2312" w:cs="Times New Roman"/>
                <w:sz w:val="28"/>
                <w:szCs w:val="28"/>
              </w:rPr>
            </w:pPr>
          </w:p>
        </w:tc>
        <w:tc>
          <w:tcPr>
            <w:tcW w:w="787" w:type="dxa"/>
            <w:shd w:val="clear" w:color="auto" w:fill="auto"/>
            <w:vAlign w:val="center"/>
          </w:tcPr>
          <w:p>
            <w:pPr>
              <w:spacing w:line="570" w:lineRule="exact"/>
              <w:jc w:val="center"/>
              <w:rPr>
                <w:rFonts w:hint="eastAsia"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271" w:type="dxa"/>
            <w:shd w:val="clear" w:color="auto" w:fill="auto"/>
            <w:vAlign w:val="center"/>
          </w:tcPr>
          <w:p>
            <w:pPr>
              <w:spacing w:line="570" w:lineRule="exact"/>
              <w:jc w:val="center"/>
              <w:rPr>
                <w:rFonts w:hint="eastAsia" w:ascii="仿宋_GB2312" w:eastAsia="仿宋_GB2312" w:cs="Times New Roman"/>
                <w:sz w:val="28"/>
                <w:szCs w:val="28"/>
              </w:rPr>
            </w:pPr>
          </w:p>
        </w:tc>
        <w:tc>
          <w:tcPr>
            <w:tcW w:w="1013" w:type="dxa"/>
            <w:shd w:val="clear" w:color="auto" w:fill="auto"/>
            <w:vAlign w:val="center"/>
          </w:tcPr>
          <w:p>
            <w:pPr>
              <w:spacing w:line="570" w:lineRule="exact"/>
              <w:jc w:val="center"/>
              <w:rPr>
                <w:rFonts w:hint="eastAsia" w:ascii="仿宋_GB2312" w:eastAsia="仿宋_GB2312" w:cs="Times New Roman"/>
                <w:sz w:val="28"/>
                <w:szCs w:val="28"/>
              </w:rPr>
            </w:pPr>
          </w:p>
        </w:tc>
        <w:tc>
          <w:tcPr>
            <w:tcW w:w="834" w:type="dxa"/>
            <w:shd w:val="clear" w:color="auto" w:fill="auto"/>
            <w:vAlign w:val="center"/>
          </w:tcPr>
          <w:p>
            <w:pPr>
              <w:spacing w:line="570" w:lineRule="exact"/>
              <w:jc w:val="center"/>
              <w:rPr>
                <w:rFonts w:hint="eastAsia" w:ascii="仿宋_GB2312" w:eastAsia="仿宋_GB2312" w:cs="Times New Roman"/>
                <w:sz w:val="28"/>
                <w:szCs w:val="28"/>
              </w:rPr>
            </w:pPr>
          </w:p>
        </w:tc>
        <w:tc>
          <w:tcPr>
            <w:tcW w:w="1327" w:type="dxa"/>
            <w:shd w:val="clear" w:color="auto" w:fill="auto"/>
            <w:vAlign w:val="center"/>
          </w:tcPr>
          <w:p>
            <w:pPr>
              <w:spacing w:line="570" w:lineRule="exact"/>
              <w:jc w:val="center"/>
              <w:rPr>
                <w:rFonts w:hint="eastAsia" w:ascii="仿宋_GB2312" w:eastAsia="仿宋_GB2312" w:cs="Times New Roman"/>
                <w:sz w:val="28"/>
                <w:szCs w:val="28"/>
              </w:rPr>
            </w:pPr>
          </w:p>
        </w:tc>
        <w:tc>
          <w:tcPr>
            <w:tcW w:w="834" w:type="dxa"/>
            <w:shd w:val="clear" w:color="auto" w:fill="auto"/>
            <w:vAlign w:val="center"/>
          </w:tcPr>
          <w:p>
            <w:pPr>
              <w:spacing w:line="570" w:lineRule="exact"/>
              <w:jc w:val="center"/>
              <w:rPr>
                <w:rFonts w:hint="eastAsia" w:ascii="仿宋_GB2312" w:eastAsia="仿宋_GB2312" w:cs="Times New Roman"/>
                <w:sz w:val="28"/>
                <w:szCs w:val="28"/>
              </w:rPr>
            </w:pPr>
          </w:p>
        </w:tc>
        <w:tc>
          <w:tcPr>
            <w:tcW w:w="834" w:type="dxa"/>
            <w:shd w:val="clear" w:color="auto" w:fill="auto"/>
            <w:vAlign w:val="center"/>
          </w:tcPr>
          <w:p>
            <w:pPr>
              <w:spacing w:line="570" w:lineRule="exact"/>
              <w:jc w:val="center"/>
              <w:rPr>
                <w:rFonts w:hint="eastAsia" w:ascii="仿宋_GB2312" w:eastAsia="仿宋_GB2312" w:cs="Times New Roman"/>
                <w:sz w:val="28"/>
                <w:szCs w:val="28"/>
              </w:rPr>
            </w:pPr>
          </w:p>
        </w:tc>
        <w:tc>
          <w:tcPr>
            <w:tcW w:w="856" w:type="dxa"/>
            <w:shd w:val="clear" w:color="auto" w:fill="auto"/>
            <w:vAlign w:val="center"/>
          </w:tcPr>
          <w:p>
            <w:pPr>
              <w:spacing w:line="570" w:lineRule="exact"/>
              <w:jc w:val="center"/>
              <w:rPr>
                <w:rFonts w:hint="eastAsia" w:ascii="仿宋_GB2312" w:eastAsia="仿宋_GB2312" w:cs="Times New Roman"/>
                <w:sz w:val="28"/>
                <w:szCs w:val="28"/>
              </w:rPr>
            </w:pPr>
          </w:p>
        </w:tc>
        <w:tc>
          <w:tcPr>
            <w:tcW w:w="853" w:type="dxa"/>
            <w:shd w:val="clear" w:color="auto" w:fill="auto"/>
            <w:vAlign w:val="center"/>
          </w:tcPr>
          <w:p>
            <w:pPr>
              <w:spacing w:line="570" w:lineRule="exact"/>
              <w:jc w:val="center"/>
              <w:rPr>
                <w:rFonts w:hint="eastAsia" w:ascii="仿宋_GB2312" w:eastAsia="仿宋_GB2312" w:cs="Times New Roman"/>
                <w:sz w:val="28"/>
                <w:szCs w:val="28"/>
              </w:rPr>
            </w:pPr>
          </w:p>
        </w:tc>
        <w:tc>
          <w:tcPr>
            <w:tcW w:w="853" w:type="dxa"/>
            <w:shd w:val="clear" w:color="auto" w:fill="auto"/>
            <w:vAlign w:val="center"/>
          </w:tcPr>
          <w:p>
            <w:pPr>
              <w:spacing w:line="570" w:lineRule="exact"/>
              <w:jc w:val="center"/>
              <w:rPr>
                <w:rFonts w:hint="eastAsia" w:ascii="仿宋_GB2312" w:eastAsia="仿宋_GB2312" w:cs="Times New Roman"/>
                <w:sz w:val="28"/>
                <w:szCs w:val="28"/>
              </w:rPr>
            </w:pPr>
          </w:p>
        </w:tc>
        <w:tc>
          <w:tcPr>
            <w:tcW w:w="853" w:type="dxa"/>
            <w:shd w:val="clear" w:color="auto" w:fill="auto"/>
            <w:vAlign w:val="center"/>
          </w:tcPr>
          <w:p>
            <w:pPr>
              <w:spacing w:line="570" w:lineRule="exact"/>
              <w:jc w:val="center"/>
              <w:rPr>
                <w:rFonts w:hint="eastAsia" w:ascii="仿宋_GB2312" w:eastAsia="仿宋_GB2312" w:cs="Times New Roman"/>
                <w:sz w:val="28"/>
                <w:szCs w:val="28"/>
              </w:rPr>
            </w:pPr>
          </w:p>
        </w:tc>
        <w:tc>
          <w:tcPr>
            <w:tcW w:w="776" w:type="dxa"/>
            <w:shd w:val="clear" w:color="auto" w:fill="auto"/>
            <w:vAlign w:val="center"/>
          </w:tcPr>
          <w:p>
            <w:pPr>
              <w:spacing w:line="570" w:lineRule="exact"/>
              <w:jc w:val="center"/>
              <w:rPr>
                <w:rFonts w:hint="eastAsia" w:ascii="仿宋_GB2312" w:eastAsia="仿宋_GB2312" w:cs="Times New Roman"/>
                <w:sz w:val="28"/>
                <w:szCs w:val="28"/>
              </w:rPr>
            </w:pPr>
          </w:p>
        </w:tc>
        <w:tc>
          <w:tcPr>
            <w:tcW w:w="837" w:type="dxa"/>
            <w:shd w:val="clear" w:color="auto" w:fill="auto"/>
            <w:vAlign w:val="center"/>
          </w:tcPr>
          <w:p>
            <w:pPr>
              <w:spacing w:line="570" w:lineRule="exact"/>
              <w:jc w:val="center"/>
              <w:rPr>
                <w:rFonts w:hint="eastAsia" w:ascii="仿宋_GB2312" w:eastAsia="仿宋_GB2312" w:cs="Times New Roman"/>
                <w:sz w:val="28"/>
                <w:szCs w:val="28"/>
              </w:rPr>
            </w:pPr>
          </w:p>
        </w:tc>
        <w:tc>
          <w:tcPr>
            <w:tcW w:w="837" w:type="dxa"/>
            <w:shd w:val="clear" w:color="auto" w:fill="auto"/>
            <w:vAlign w:val="center"/>
          </w:tcPr>
          <w:p>
            <w:pPr>
              <w:spacing w:line="570" w:lineRule="exact"/>
              <w:jc w:val="center"/>
              <w:rPr>
                <w:rFonts w:hint="eastAsia" w:ascii="仿宋_GB2312" w:eastAsia="仿宋_GB2312" w:cs="Times New Roman"/>
                <w:sz w:val="28"/>
                <w:szCs w:val="28"/>
              </w:rPr>
            </w:pPr>
          </w:p>
        </w:tc>
        <w:tc>
          <w:tcPr>
            <w:tcW w:w="787" w:type="dxa"/>
            <w:shd w:val="clear" w:color="auto" w:fill="auto"/>
            <w:vAlign w:val="center"/>
          </w:tcPr>
          <w:p>
            <w:pPr>
              <w:spacing w:line="570" w:lineRule="exact"/>
              <w:jc w:val="center"/>
              <w:rPr>
                <w:rFonts w:hint="eastAsia" w:ascii="仿宋_GB2312" w:eastAsia="仿宋_GB2312" w:cs="Times New Roman"/>
                <w:sz w:val="28"/>
                <w:szCs w:val="28"/>
              </w:rPr>
            </w:pPr>
          </w:p>
        </w:tc>
      </w:tr>
    </w:tbl>
    <w:p>
      <w:pPr>
        <w:spacing w:line="570" w:lineRule="exact"/>
        <w:outlineLvl w:val="0"/>
        <w:rPr>
          <w:rFonts w:ascii="仿宋_GB2312" w:eastAsia="仿宋_GB2312" w:cs="Times New Roman"/>
          <w:sz w:val="28"/>
          <w:szCs w:val="28"/>
        </w:rPr>
      </w:pPr>
    </w:p>
    <w:p>
      <w:pPr>
        <w:widowControl/>
        <w:spacing w:line="570" w:lineRule="exact"/>
        <w:ind w:left="480" w:hanging="482" w:hangingChars="150"/>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广阳区广播电视局</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上年末固定资产金额为355.33万元，我部门本年度未安排购买固定资产，详见下表。</w:t>
      </w:r>
    </w:p>
    <w:tbl>
      <w:tblPr>
        <w:tblStyle w:val="4"/>
        <w:tblW w:w="1034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05"/>
        <w:gridCol w:w="2565"/>
        <w:gridCol w:w="3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jc w:val="center"/>
        </w:trPr>
        <w:tc>
          <w:tcPr>
            <w:tcW w:w="10340" w:type="dxa"/>
            <w:gridSpan w:val="3"/>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jc w:val="center"/>
        </w:trPr>
        <w:tc>
          <w:tcPr>
            <w:tcW w:w="6570" w:type="dxa"/>
            <w:gridSpan w:val="2"/>
            <w:vAlign w:val="center"/>
          </w:tcPr>
          <w:p>
            <w:pPr>
              <w:widowControl/>
              <w:spacing w:line="570" w:lineRule="exact"/>
              <w:jc w:val="center"/>
              <w:rPr>
                <w:rFonts w:hint="eastAsia" w:ascii="仿宋_GB2312" w:eastAsia="仿宋_GB2312" w:cs="宋体"/>
                <w:kern w:val="0"/>
                <w:sz w:val="28"/>
                <w:szCs w:val="28"/>
                <w:lang w:eastAsia="zh-CN"/>
              </w:rPr>
            </w:pPr>
            <w:r>
              <w:rPr>
                <w:rFonts w:hint="eastAsia" w:ascii="仿宋_GB2312" w:eastAsia="仿宋_GB2312" w:cs="宋体"/>
                <w:kern w:val="0"/>
                <w:sz w:val="28"/>
                <w:szCs w:val="28"/>
              </w:rPr>
              <w:t>编制部门：</w:t>
            </w:r>
            <w:r>
              <w:rPr>
                <w:rFonts w:hint="eastAsia" w:ascii="仿宋_GB2312" w:eastAsia="仿宋_GB2312" w:cs="宋体"/>
                <w:kern w:val="0"/>
                <w:sz w:val="28"/>
                <w:szCs w:val="28"/>
                <w:lang w:val="en-US" w:eastAsia="zh-CN"/>
              </w:rPr>
              <w:t>535</w:t>
            </w:r>
            <w:r>
              <w:rPr>
                <w:rFonts w:hint="eastAsia" w:ascii="仿宋_GB2312" w:eastAsia="仿宋_GB2312" w:cs="宋体"/>
                <w:b/>
                <w:bCs/>
                <w:kern w:val="0"/>
                <w:sz w:val="28"/>
                <w:szCs w:val="28"/>
              </w:rPr>
              <w:t>廊坊市广阳区</w:t>
            </w:r>
            <w:r>
              <w:rPr>
                <w:rFonts w:hint="eastAsia" w:ascii="仿宋_GB2312" w:eastAsia="仿宋_GB2312" w:cs="宋体"/>
                <w:b/>
                <w:bCs/>
                <w:kern w:val="0"/>
                <w:sz w:val="28"/>
                <w:szCs w:val="28"/>
                <w:lang w:eastAsia="zh-CN"/>
              </w:rPr>
              <w:t>广播电视局</w:t>
            </w:r>
          </w:p>
        </w:tc>
        <w:tc>
          <w:tcPr>
            <w:tcW w:w="3770" w:type="dxa"/>
            <w:vAlign w:val="center"/>
          </w:tcPr>
          <w:p>
            <w:pPr>
              <w:widowControl/>
              <w:spacing w:line="570" w:lineRule="exact"/>
              <w:jc w:val="center"/>
              <w:rPr>
                <w:rFonts w:ascii="宋体" w:hAnsi="宋体" w:eastAsia="仿宋_GB2312" w:cs="宋体"/>
                <w:kern w:val="0"/>
                <w:sz w:val="28"/>
                <w:szCs w:val="28"/>
              </w:rPr>
            </w:pPr>
            <w:r>
              <w:rPr>
                <w:rFonts w:hint="eastAsia" w:ascii="仿宋_GB2312" w:eastAsia="仿宋_GB2312" w:cs="宋体"/>
                <w:kern w:val="0"/>
                <w:sz w:val="28"/>
                <w:szCs w:val="28"/>
              </w:rPr>
              <w:t>截止时间：201</w:t>
            </w:r>
            <w:r>
              <w:rPr>
                <w:rFonts w:ascii="仿宋_GB2312" w:eastAsia="仿宋_GB2312" w:cs="宋体"/>
                <w:kern w:val="0"/>
                <w:sz w:val="28"/>
                <w:szCs w:val="28"/>
              </w:rPr>
              <w:t>7</w:t>
            </w:r>
            <w:r>
              <w:rPr>
                <w:rFonts w:hint="eastAsia" w:ascii="仿宋_GB2312" w:eastAsia="仿宋_GB2312" w:cs="宋体"/>
                <w:kern w:val="0"/>
                <w:sz w:val="28"/>
                <w:szCs w:val="28"/>
              </w:rPr>
              <w:t>年12月31日</w:t>
            </w:r>
            <w:r>
              <w:rPr>
                <w:rFonts w:ascii="宋体" w:hAnsi="宋体" w:eastAsia="仿宋_GB2312" w:cs="宋体"/>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355.33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426.6</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40.95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426.6</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40.95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1</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14.39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1</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77.97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222.02</w:t>
            </w:r>
          </w:p>
        </w:tc>
      </w:tr>
    </w:tbl>
    <w:p>
      <w:pPr>
        <w:pStyle w:val="7"/>
        <w:spacing w:line="570" w:lineRule="exact"/>
        <w:rPr>
          <w:rFonts w:ascii="黑体" w:eastAsia="黑体" w:cs="宋体"/>
          <w:b/>
          <w:bCs/>
          <w:sz w:val="32"/>
          <w:szCs w:val="32"/>
        </w:rPr>
      </w:pPr>
    </w:p>
    <w:p>
      <w:pPr>
        <w:pStyle w:val="7"/>
        <w:spacing w:line="570" w:lineRule="exact"/>
        <w:rPr>
          <w:rFonts w:ascii="仿宋_GB2312" w:eastAsia="仿宋_GB2312"/>
          <w:b/>
          <w:bCs/>
          <w:sz w:val="32"/>
          <w:szCs w:val="32"/>
        </w:rPr>
      </w:pPr>
      <w:r>
        <w:rPr>
          <w:rFonts w:ascii="黑体" w:eastAsia="黑体" w:cs="宋体"/>
          <w:b/>
          <w:bCs/>
          <w:sz w:val="32"/>
          <w:szCs w:val="32"/>
        </w:rPr>
        <w:br w:type="page"/>
      </w: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spacing w:line="570" w:lineRule="exact"/>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spacing w:line="570" w:lineRule="exact"/>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570" w:lineRule="exact"/>
        <w:ind w:left="643" w:hanging="643" w:hangingChars="200"/>
        <w:jc w:val="left"/>
        <w:rPr>
          <w:rFonts w:ascii="宋体" w:hAnsi="宋体" w:eastAsia="仿宋_GB2312" w:cs="宋体"/>
          <w:color w:val="000000"/>
          <w:kern w:val="0"/>
          <w:sz w:val="32"/>
          <w:szCs w:val="32"/>
        </w:rPr>
      </w:pPr>
      <w:r>
        <w:rPr>
          <w:rFonts w:hint="eastAsia" w:ascii="黑体" w:eastAsia="黑体" w:cs="宋体"/>
          <w:b/>
          <w:bCs/>
          <w:color w:val="000000"/>
          <w:kern w:val="0"/>
          <w:sz w:val="32"/>
          <w:szCs w:val="32"/>
        </w:rPr>
        <w:t>九、其</w:t>
      </w:r>
      <w:r>
        <w:rPr>
          <w:rFonts w:hint="eastAsia" w:ascii="黑体" w:eastAsia="黑体" w:cs="宋体"/>
          <w:b/>
          <w:bCs/>
          <w:color w:val="000000"/>
          <w:kern w:val="0"/>
          <w:sz w:val="32"/>
          <w:szCs w:val="32"/>
          <w:lang w:eastAsia="zh-CN"/>
        </w:rPr>
        <w:t>他</w:t>
      </w:r>
      <w:r>
        <w:rPr>
          <w:rFonts w:hint="eastAsia" w:ascii="黑体" w:eastAsia="黑体" w:cs="宋体"/>
          <w:b/>
          <w:bCs/>
          <w:color w:val="000000"/>
          <w:kern w:val="0"/>
          <w:sz w:val="32"/>
          <w:szCs w:val="32"/>
        </w:rPr>
        <w:t>需要说明的事项</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无其</w:t>
      </w:r>
      <w:r>
        <w:rPr>
          <w:rFonts w:hint="eastAsia" w:ascii="仿宋_GB2312" w:eastAsia="仿宋_GB2312" w:cs="宋体"/>
          <w:color w:val="000000"/>
          <w:kern w:val="0"/>
          <w:sz w:val="32"/>
          <w:szCs w:val="32"/>
          <w:lang w:eastAsia="zh-CN"/>
        </w:rPr>
        <w:t>他</w:t>
      </w:r>
      <w:r>
        <w:rPr>
          <w:rFonts w:hint="eastAsia" w:ascii="仿宋_GB2312" w:eastAsia="仿宋_GB2312" w:cs="宋体"/>
          <w:color w:val="000000"/>
          <w:kern w:val="0"/>
          <w:sz w:val="32"/>
          <w:szCs w:val="32"/>
        </w:rPr>
        <w:t>需要说明的事项。</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p>
    <w:p>
      <w:pPr>
        <w:rPr>
          <w:rFonts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FZFangSong-Z02">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8BF0A0E"/>
    <w:rsid w:val="2C7D67FB"/>
    <w:rsid w:val="5EDD39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China</Company>
  <Pages>14</Pages>
  <Words>3592</Words>
  <Characters>4029</Characters>
  <Lines>461</Lines>
  <Paragraphs>193</Paragraphs>
  <TotalTime>0</TotalTime>
  <ScaleCrop>false</ScaleCrop>
  <LinksUpToDate>false</LinksUpToDate>
  <CharactersWithSpaces>4103</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2018-02-27T09:25:00Z</dcterms:created>
  <dc:creator>lenovo</dc:creator>
  <cp:lastModifiedBy>Administrator</cp:lastModifiedBy>
  <dcterms:modified xsi:type="dcterms:W3CDTF">2024-01-18T01:49:56Z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3702E91B34F5437B893C12C957E13E4D</vt:lpwstr>
  </property>
</Properties>
</file>