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hint="eastAsia" w:ascii="方正小标宋简体" w:eastAsia="方正小标宋简体" w:cs="宋体"/>
          <w:b/>
          <w:bCs/>
          <w:color w:val="000000"/>
          <w:kern w:val="0"/>
          <w:sz w:val="44"/>
          <w:szCs w:val="44"/>
        </w:rPr>
      </w:pPr>
      <w:r>
        <w:rPr>
          <w:rFonts w:hint="eastAsia" w:ascii="方正小标宋简体" w:eastAsia="方正小标宋简体" w:cs="宋体"/>
          <w:b/>
          <w:bCs/>
          <w:color w:val="000000"/>
          <w:kern w:val="0"/>
          <w:sz w:val="44"/>
          <w:szCs w:val="44"/>
        </w:rPr>
        <w:t>廊坊市广阳区发展改革局2018年部门预算公开情况说明</w:t>
      </w:r>
    </w:p>
    <w:p>
      <w:pPr>
        <w:widowControl/>
        <w:spacing w:line="360" w:lineRule="atLeast"/>
        <w:jc w:val="center"/>
        <w:rPr>
          <w:rFonts w:hint="eastAsia" w:ascii="方正小标宋简体" w:eastAsia="方正小标宋简体" w:cs="宋体"/>
          <w:b/>
          <w:bCs/>
          <w:color w:val="000000"/>
          <w:kern w:val="0"/>
          <w:sz w:val="44"/>
          <w:szCs w:val="44"/>
        </w:rPr>
      </w:pPr>
    </w:p>
    <w:p>
      <w:pPr>
        <w:spacing w:line="570" w:lineRule="exact"/>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bookmarkStart w:id="0" w:name="_GoBack"/>
      <w:bookmarkEnd w:id="0"/>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w:t>
      </w:r>
      <w:r>
        <w:rPr>
          <w:rFonts w:ascii="仿宋_GB2312" w:eastAsia="仿宋_GB2312" w:cs="宋体"/>
          <w:color w:val="000000"/>
          <w:kern w:val="0"/>
          <w:sz w:val="32"/>
          <w:szCs w:val="32"/>
        </w:rPr>
        <w:t>发改</w:t>
      </w:r>
      <w:r>
        <w:rPr>
          <w:rFonts w:hint="eastAsia" w:ascii="仿宋_GB2312" w:eastAsia="仿宋_GB2312" w:cs="宋体"/>
          <w:color w:val="000000"/>
          <w:kern w:val="0"/>
          <w:sz w:val="32"/>
          <w:szCs w:val="32"/>
        </w:rPr>
        <w:t>局</w:t>
      </w:r>
      <w:r>
        <w:rPr>
          <w:rFonts w:hint="eastAsia" w:ascii="仿宋_GB2312" w:eastAsia="仿宋_GB2312"/>
          <w:sz w:val="32"/>
          <w:szCs w:val="32"/>
        </w:rPr>
        <w:t>201</w:t>
      </w:r>
      <w:r>
        <w:rPr>
          <w:rFonts w:ascii="仿宋_GB2312" w:eastAsia="仿宋_GB2312"/>
          <w:sz w:val="32"/>
          <w:szCs w:val="32"/>
        </w:rPr>
        <w:t>8</w:t>
      </w:r>
      <w:r>
        <w:rPr>
          <w:rFonts w:hint="eastAsia" w:ascii="仿宋_GB2312" w:eastAsia="仿宋_GB2312"/>
          <w:sz w:val="32"/>
          <w:szCs w:val="32"/>
        </w:rPr>
        <w:t>年部门预算公开如下：</w:t>
      </w:r>
    </w:p>
    <w:p>
      <w:pPr>
        <w:widowControl/>
        <w:numPr>
          <w:ilvl w:val="0"/>
          <w:numId w:val="1"/>
        </w:numPr>
        <w:spacing w:line="570" w:lineRule="exact"/>
        <w:jc w:val="left"/>
        <w:rPr>
          <w:rFonts w:ascii="仿宋_GB2312" w:eastAsia="仿宋_GB2312" w:cs="宋体"/>
          <w:b/>
          <w:bCs/>
          <w:color w:val="000000"/>
          <w:kern w:val="0"/>
          <w:sz w:val="32"/>
          <w:szCs w:val="32"/>
        </w:rPr>
      </w:pPr>
      <w:r>
        <w:rPr>
          <w:rFonts w:hint="eastAsia" w:ascii="黑体" w:eastAsia="黑体" w:cs="宋体"/>
          <w:b/>
          <w:bCs/>
          <w:color w:val="000000"/>
          <w:kern w:val="0"/>
          <w:sz w:val="32"/>
          <w:szCs w:val="32"/>
        </w:rPr>
        <w:t xml:space="preserve">部门职责及机构设置情况   </w:t>
      </w:r>
      <w:r>
        <w:rPr>
          <w:rFonts w:hint="eastAsia" w:ascii="黑体" w:eastAsia="黑体" w:cs="宋体"/>
          <w:color w:val="000000"/>
          <w:kern w:val="0"/>
          <w:sz w:val="32"/>
          <w:szCs w:val="32"/>
        </w:rPr>
        <w:br w:type="textWrapping"/>
      </w:r>
      <w:r>
        <w:rPr>
          <w:rFonts w:hint="eastAsia" w:ascii="楷体_GB2312" w:eastAsia="楷体_GB2312" w:cs="宋体"/>
          <w:b/>
          <w:bCs/>
          <w:color w:val="000000"/>
          <w:kern w:val="0"/>
          <w:sz w:val="32"/>
          <w:szCs w:val="32"/>
        </w:rPr>
        <w:t>部门职责：</w:t>
      </w:r>
    </w:p>
    <w:p>
      <w:pPr>
        <w:spacing w:line="570" w:lineRule="exact"/>
        <w:ind w:firstLine="640" w:firstLineChars="200"/>
        <w:rPr>
          <w:rFonts w:hint="eastAsia" w:ascii="仿宋_GB2312" w:eastAsia="仿宋_GB2312" w:cs="宋体"/>
          <w:color w:val="000000"/>
          <w:sz w:val="32"/>
          <w:szCs w:val="32"/>
        </w:rPr>
      </w:pPr>
      <w:r>
        <w:rPr>
          <w:rFonts w:hint="eastAsia" w:ascii="仿宋_GB2312" w:eastAsia="仿宋_GB2312" w:cs="宋体"/>
          <w:color w:val="000000"/>
          <w:sz w:val="32"/>
          <w:szCs w:val="32"/>
        </w:rPr>
        <w:t>（一）拟定并组织实施全区国民经济和社会发展战略、中长期规划和年度计划；提出全区国民经济发展和优化重大经济结构的目标和政策的建议；提出运用各种经济手段和政策的建议；受区政府委托向区人大作国民经济和社会发展计划的报告。</w:t>
      </w:r>
    </w:p>
    <w:p>
      <w:pPr>
        <w:spacing w:line="570" w:lineRule="exact"/>
        <w:ind w:firstLine="640" w:firstLineChars="200"/>
        <w:rPr>
          <w:rFonts w:hint="eastAsia" w:eastAsia="仿宋_GB2312"/>
          <w:color w:val="000000"/>
          <w:sz w:val="32"/>
          <w:szCs w:val="21"/>
        </w:rPr>
      </w:pPr>
      <w:r>
        <w:rPr>
          <w:rFonts w:hint="eastAsia" w:eastAsia="仿宋_GB2312"/>
          <w:color w:val="000000"/>
          <w:sz w:val="32"/>
          <w:szCs w:val="21"/>
        </w:rPr>
        <w:t>（二）研究分析国内外、省内外、市内外经济形势和发展情况，进行区域经济的预测、预警；研究涉及全区经济安全的重要问题，提出区域经济调节政策的建议，综合协调经济社会发展；负责日常经济运行的调节，组织解决经济运行中的有关重大问题。</w:t>
      </w:r>
    </w:p>
    <w:p>
      <w:pPr>
        <w:spacing w:line="570" w:lineRule="exact"/>
        <w:ind w:firstLine="640" w:firstLineChars="200"/>
        <w:rPr>
          <w:rFonts w:hint="eastAsia" w:eastAsia="仿宋_GB2312"/>
          <w:color w:val="000000"/>
          <w:sz w:val="32"/>
          <w:szCs w:val="21"/>
        </w:rPr>
      </w:pPr>
      <w:r>
        <w:rPr>
          <w:rFonts w:hint="eastAsia" w:eastAsia="仿宋_GB2312"/>
          <w:color w:val="000000"/>
          <w:sz w:val="32"/>
          <w:szCs w:val="21"/>
        </w:rPr>
        <w:t>（三）负责汇总和分析财政、金融等方面的情况，研究贯彻国家财政政策、货币政策以及其它调控政策的措施，组织实施产业政策，监督检查产业政策的执行；受政府委托对相关投融资机构进行宏观指导。</w:t>
      </w:r>
    </w:p>
    <w:p>
      <w:pPr>
        <w:spacing w:line="570" w:lineRule="exact"/>
        <w:ind w:firstLine="640" w:firstLineChars="200"/>
        <w:rPr>
          <w:rFonts w:hint="eastAsia" w:eastAsia="仿宋_GB2312"/>
          <w:color w:val="000000"/>
          <w:sz w:val="32"/>
          <w:szCs w:val="21"/>
        </w:rPr>
      </w:pPr>
      <w:r>
        <w:rPr>
          <w:rFonts w:hint="eastAsia" w:eastAsia="仿宋_GB2312"/>
          <w:color w:val="000000"/>
          <w:sz w:val="32"/>
          <w:szCs w:val="21"/>
        </w:rPr>
        <w:t>（四）研究全区经济体制改革和对外开放的重大问题，组织拟定综合性经济体制改革方案，协调有关专项经济体制改革和方案；提出完善社会主义市场经济体制、以改革开放促进发展的建议，指导和推进总体经济体制改革。</w:t>
      </w:r>
    </w:p>
    <w:p>
      <w:pPr>
        <w:spacing w:line="570" w:lineRule="exact"/>
        <w:ind w:firstLine="640" w:firstLineChars="200"/>
        <w:rPr>
          <w:rFonts w:hint="eastAsia" w:eastAsia="仿宋_GB2312"/>
          <w:color w:val="000000"/>
          <w:sz w:val="32"/>
          <w:szCs w:val="21"/>
        </w:rPr>
      </w:pPr>
      <w:r>
        <w:rPr>
          <w:rFonts w:hint="eastAsia" w:eastAsia="仿宋_GB2312"/>
          <w:color w:val="000000"/>
          <w:sz w:val="32"/>
          <w:szCs w:val="21"/>
        </w:rPr>
        <w:t>（五）研究提出全社会固定资产投资总规模，编制和实施固定资产投资计划，研究提出投资和建设领域的有关方针政策，负责区（县）级管理的基本建设项目、技改项目的审批、核准、备案。申报市管以上大中型基本建设项目、技术改造项目。安排区级重点项目，争列市以上重点项目。</w:t>
      </w:r>
    </w:p>
    <w:p>
      <w:pPr>
        <w:spacing w:line="570" w:lineRule="exact"/>
        <w:ind w:firstLine="640" w:firstLineChars="200"/>
        <w:rPr>
          <w:rFonts w:hint="eastAsia" w:eastAsia="仿宋_GB2312"/>
          <w:color w:val="000000"/>
          <w:sz w:val="32"/>
          <w:szCs w:val="21"/>
        </w:rPr>
      </w:pPr>
      <w:r>
        <w:rPr>
          <w:rFonts w:hint="eastAsia" w:eastAsia="仿宋_GB2312"/>
          <w:color w:val="000000"/>
          <w:sz w:val="32"/>
          <w:szCs w:val="21"/>
        </w:rPr>
        <w:t>（六）研究提出全区利用外资和境外投资的发展战略、总量平衡和结构优化的目标和政策；负责全口径外债的总量控制、结构优化和监测工作；指导和监督国外贷款建设资金的使用，安排利用外资和境外投资重点项目。</w:t>
      </w:r>
    </w:p>
    <w:p>
      <w:pPr>
        <w:spacing w:line="570" w:lineRule="exact"/>
        <w:ind w:firstLine="640" w:firstLineChars="200"/>
        <w:rPr>
          <w:rFonts w:hint="eastAsia" w:eastAsia="仿宋_GB2312"/>
          <w:color w:val="000000"/>
          <w:sz w:val="32"/>
          <w:szCs w:val="21"/>
        </w:rPr>
      </w:pPr>
      <w:r>
        <w:rPr>
          <w:rFonts w:hint="eastAsia" w:eastAsia="仿宋_GB2312"/>
          <w:color w:val="000000"/>
          <w:sz w:val="32"/>
          <w:szCs w:val="21"/>
        </w:rPr>
        <w:t>（七）推进产业结构战略性调整和升级；提出国民经济重要产业的发展战略和规划；研究并协调农业和农村经济社会发展的有关重大问题，做好农业资源区划，衔接农村专项规划和政策；拟定以工代赈扶贫规划和计划；指导工业发展，推进工业化和信息化；拟定工业行业规划；推进高技术产业发展，实施技术进步和产业现代化的宏观指导。</w:t>
      </w:r>
    </w:p>
    <w:p>
      <w:pPr>
        <w:spacing w:line="570" w:lineRule="exact"/>
        <w:ind w:firstLine="640" w:firstLineChars="200"/>
        <w:rPr>
          <w:rFonts w:hint="eastAsia" w:eastAsia="仿宋_GB2312"/>
          <w:color w:val="000000"/>
          <w:sz w:val="32"/>
          <w:szCs w:val="21"/>
        </w:rPr>
      </w:pPr>
      <w:r>
        <w:rPr>
          <w:rFonts w:hint="eastAsia" w:eastAsia="仿宋_GB2312"/>
          <w:color w:val="000000"/>
          <w:sz w:val="32"/>
          <w:szCs w:val="21"/>
        </w:rPr>
        <w:t>（八）研究分析区域经济和城镇化发展情况，搞好资源开发，生产力布局和生态环境建设规划；提出区域经济协调发展的政策建议，推进城镇化建设。</w:t>
      </w:r>
    </w:p>
    <w:p>
      <w:pPr>
        <w:spacing w:line="570" w:lineRule="exact"/>
        <w:ind w:firstLine="640" w:firstLineChars="200"/>
        <w:rPr>
          <w:rFonts w:hint="eastAsia" w:eastAsia="仿宋_GB2312"/>
          <w:color w:val="000000"/>
          <w:sz w:val="32"/>
          <w:szCs w:val="21"/>
        </w:rPr>
      </w:pPr>
      <w:r>
        <w:rPr>
          <w:rFonts w:hint="eastAsia" w:ascii="Tahoma" w:hAnsi="Tahoma"/>
          <w:color w:val="000000"/>
          <w:sz w:val="32"/>
          <w:szCs w:val="21"/>
        </w:rPr>
        <w:t>（九）</w:t>
      </w:r>
      <w:r>
        <w:rPr>
          <w:rFonts w:hint="eastAsia" w:eastAsia="仿宋_GB2312"/>
          <w:color w:val="000000"/>
          <w:sz w:val="32"/>
          <w:szCs w:val="21"/>
        </w:rPr>
        <w:t>研究分析国内外、省内外、市内外市场状况，负责区内重要商品总量平衡和宏观调控；编制重要农产品、工业品和原材料进出口总量计划，监督计划执行情况，并根据经济运行情况对进出口总量计划进行调整；管理粮食、棉花、食糖、石油和药品等重要物资和商品的市区储备；研究提出现代物流业发展规划，协调流通体制改革的重大问题；规划和指导全区服务业的建设和发展。</w:t>
      </w:r>
    </w:p>
    <w:p>
      <w:pPr>
        <w:spacing w:line="570" w:lineRule="exact"/>
        <w:ind w:firstLine="640" w:firstLineChars="200"/>
        <w:rPr>
          <w:rFonts w:hint="eastAsia" w:eastAsia="仿宋_GB2312"/>
          <w:color w:val="000000"/>
          <w:sz w:val="32"/>
          <w:szCs w:val="21"/>
        </w:rPr>
      </w:pPr>
      <w:r>
        <w:rPr>
          <w:rFonts w:hint="eastAsia" w:eastAsia="仿宋_GB2312"/>
          <w:color w:val="000000"/>
          <w:sz w:val="32"/>
          <w:szCs w:val="21"/>
        </w:rPr>
        <w:t>（十）做好人口和计划生育、科学技术、教育、文化、卫生等社会事业以及国防建设与国民经济发展的衔接平衡；提出经济与社会协调发展、相互促进的政策，协调社会事业发展的重大问题。</w:t>
      </w:r>
    </w:p>
    <w:p>
      <w:pPr>
        <w:spacing w:line="570" w:lineRule="exact"/>
        <w:ind w:firstLine="640" w:firstLineChars="200"/>
        <w:rPr>
          <w:rFonts w:hint="eastAsia" w:eastAsia="仿宋_GB2312"/>
          <w:color w:val="000000"/>
          <w:sz w:val="32"/>
          <w:szCs w:val="21"/>
        </w:rPr>
      </w:pPr>
      <w:r>
        <w:rPr>
          <w:rFonts w:hint="eastAsia" w:eastAsia="仿宋_GB2312"/>
          <w:color w:val="000000"/>
          <w:sz w:val="32"/>
          <w:szCs w:val="21"/>
        </w:rPr>
        <w:t>（十一）推进可持续发展战略，研究拟定资源节约综合利用规划，编制生态建设规划，提出资源节约综合利用的政策建议；组织协调环保产业工作。</w:t>
      </w:r>
    </w:p>
    <w:p>
      <w:pPr>
        <w:spacing w:line="570" w:lineRule="exact"/>
        <w:ind w:firstLine="640" w:firstLineChars="200"/>
        <w:rPr>
          <w:rFonts w:hint="eastAsia" w:eastAsia="仿宋_GB2312"/>
          <w:color w:val="000000"/>
          <w:sz w:val="32"/>
          <w:szCs w:val="21"/>
        </w:rPr>
      </w:pPr>
      <w:r>
        <w:rPr>
          <w:rFonts w:hint="eastAsia" w:eastAsia="仿宋_GB2312"/>
          <w:color w:val="000000"/>
          <w:sz w:val="32"/>
          <w:szCs w:val="21"/>
        </w:rPr>
        <w:t>（十二）研究多种所有制经济的状况，提出优化所有制结构和企业组织结构的建议，促进各种所有制企业公平竞争和共同发展；宏观指导和协调促进中小企业、非国有经济发展的重大问题。</w:t>
      </w:r>
    </w:p>
    <w:p>
      <w:pPr>
        <w:spacing w:line="570" w:lineRule="exact"/>
        <w:ind w:firstLine="640" w:firstLineChars="200"/>
        <w:rPr>
          <w:rFonts w:hint="eastAsia" w:eastAsia="仿宋_GB2312"/>
          <w:color w:val="000000"/>
          <w:sz w:val="32"/>
          <w:szCs w:val="21"/>
        </w:rPr>
      </w:pPr>
      <w:r>
        <w:rPr>
          <w:rFonts w:hint="eastAsia" w:eastAsia="仿宋_GB2312"/>
          <w:color w:val="000000"/>
          <w:sz w:val="32"/>
          <w:szCs w:val="21"/>
        </w:rPr>
        <w:t>（十三）研究提出促进就业、调整收入分配、完善社会保障与经济协调发展的政策，协调就业、收入分配和社会保障的重大问题。</w:t>
      </w:r>
    </w:p>
    <w:p>
      <w:pPr>
        <w:spacing w:line="570" w:lineRule="exact"/>
        <w:ind w:firstLine="640" w:firstLineChars="200"/>
        <w:rPr>
          <w:rFonts w:hint="eastAsia" w:eastAsia="仿宋_GB2312"/>
          <w:color w:val="000000"/>
          <w:sz w:val="32"/>
          <w:szCs w:val="21"/>
        </w:rPr>
      </w:pPr>
      <w:r>
        <w:rPr>
          <w:rFonts w:hint="eastAsia" w:eastAsia="仿宋_GB2312"/>
          <w:color w:val="000000"/>
          <w:sz w:val="32"/>
          <w:szCs w:val="21"/>
        </w:rPr>
        <w:t>（十四）参与国民经济和社会发展以及经济体制改革、对外开放有关地方性法规、规章的组织实施工作。</w:t>
      </w:r>
    </w:p>
    <w:p>
      <w:pPr>
        <w:spacing w:line="570" w:lineRule="exact"/>
        <w:ind w:firstLine="640" w:firstLineChars="200"/>
        <w:rPr>
          <w:rFonts w:hint="eastAsia" w:eastAsia="仿宋_GB2312"/>
          <w:color w:val="000000"/>
          <w:sz w:val="32"/>
          <w:szCs w:val="21"/>
        </w:rPr>
      </w:pPr>
      <w:r>
        <w:rPr>
          <w:rFonts w:hint="eastAsia" w:eastAsia="仿宋_GB2312"/>
          <w:color w:val="000000"/>
          <w:sz w:val="32"/>
          <w:szCs w:val="21"/>
        </w:rPr>
        <w:t>（十五）组织、指导全区经济、技术交流与合作。</w:t>
      </w:r>
    </w:p>
    <w:p>
      <w:pPr>
        <w:spacing w:line="570" w:lineRule="exact"/>
        <w:ind w:firstLine="640" w:firstLineChars="200"/>
        <w:rPr>
          <w:rFonts w:ascii="仿宋_GB2312" w:eastAsia="仿宋_GB2312" w:cs="宋体"/>
          <w:b/>
          <w:bCs/>
          <w:color w:val="000000"/>
          <w:kern w:val="0"/>
          <w:sz w:val="32"/>
          <w:szCs w:val="32"/>
        </w:rPr>
      </w:pPr>
      <w:r>
        <w:rPr>
          <w:rFonts w:hint="eastAsia" w:eastAsia="仿宋_GB2312"/>
          <w:color w:val="000000"/>
          <w:sz w:val="32"/>
          <w:szCs w:val="21"/>
        </w:rPr>
        <w:t>（十六）承办区政府交办的其他事项。</w:t>
      </w:r>
      <w:r>
        <w:rPr>
          <w:rFonts w:hint="eastAsia" w:ascii="仿宋_GB2312" w:eastAsia="仿宋_GB2312" w:cs="宋体"/>
          <w:color w:val="000000"/>
          <w:kern w:val="0"/>
          <w:sz w:val="32"/>
          <w:szCs w:val="32"/>
        </w:rPr>
        <w:br w:type="textWrapping"/>
      </w:r>
      <w:r>
        <w:rPr>
          <w:rFonts w:hint="eastAsia" w:ascii="楷体_GB2312" w:eastAsia="楷体_GB2312" w:cs="宋体"/>
          <w:b/>
          <w:bCs/>
          <w:color w:val="000000"/>
          <w:kern w:val="0"/>
          <w:sz w:val="32"/>
          <w:szCs w:val="32"/>
        </w:rPr>
        <w:t>机构设置：</w:t>
      </w:r>
    </w:p>
    <w:p>
      <w:pPr>
        <w:spacing w:line="570" w:lineRule="exact"/>
        <w:ind w:firstLine="640" w:firstLineChars="200"/>
        <w:rPr>
          <w:rFonts w:hint="eastAsia" w:eastAsia="仿宋_GB2312"/>
          <w:color w:val="000000"/>
          <w:sz w:val="32"/>
          <w:szCs w:val="21"/>
        </w:rPr>
      </w:pPr>
      <w:r>
        <w:rPr>
          <w:rFonts w:hint="eastAsia" w:ascii="仿宋_GB2312" w:eastAsia="仿宋_GB2312" w:cs="宋体"/>
          <w:color w:val="000000"/>
          <w:sz w:val="32"/>
          <w:szCs w:val="32"/>
        </w:rPr>
        <w:t>我部门没有下属单位</w:t>
      </w:r>
      <w:r>
        <w:rPr>
          <w:rFonts w:ascii="仿宋_GB2312" w:eastAsia="仿宋_GB2312" w:cs="宋体"/>
          <w:color w:val="000000"/>
          <w:sz w:val="32"/>
          <w:szCs w:val="32"/>
        </w:rPr>
        <w:t>。</w:t>
      </w:r>
    </w:p>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12450" w:type="dxa"/>
        <w:tblCellSpacing w:w="0" w:type="dxa"/>
        <w:tblInd w:w="44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37"/>
        <w:gridCol w:w="2102"/>
        <w:gridCol w:w="1814"/>
        <w:gridCol w:w="429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00" w:hRule="atLeast"/>
          <w:tblHeader/>
          <w:tblCellSpacing w:w="0" w:type="dxa"/>
        </w:trPr>
        <w:tc>
          <w:tcPr>
            <w:tcW w:w="423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2102"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814"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429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 w:hRule="atLeast"/>
          <w:tblCellSpacing w:w="0" w:type="dxa"/>
        </w:trPr>
        <w:tc>
          <w:tcPr>
            <w:tcW w:w="423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廊坊市广阳区</w:t>
            </w:r>
            <w:r>
              <w:rPr>
                <w:rFonts w:ascii="仿宋_GB2312" w:eastAsia="仿宋_GB2312" w:cs="宋体"/>
                <w:kern w:val="0"/>
                <w:sz w:val="32"/>
                <w:szCs w:val="32"/>
              </w:rPr>
              <w:t>发改局</w:t>
            </w:r>
          </w:p>
        </w:tc>
        <w:tc>
          <w:tcPr>
            <w:tcW w:w="2102"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highlight w:val="yellow"/>
              </w:rPr>
            </w:pPr>
            <w:r>
              <w:rPr>
                <w:rFonts w:ascii="仿宋_GB2312" w:eastAsia="仿宋_GB2312" w:cs="宋体"/>
                <w:kern w:val="0"/>
                <w:sz w:val="32"/>
                <w:szCs w:val="32"/>
              </w:rPr>
              <w:t>行政单位</w:t>
            </w:r>
          </w:p>
        </w:tc>
        <w:tc>
          <w:tcPr>
            <w:tcW w:w="1814"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ascii="仿宋_GB2312" w:eastAsia="仿宋_GB2312" w:cs="宋体"/>
                <w:kern w:val="0"/>
                <w:sz w:val="32"/>
                <w:szCs w:val="32"/>
              </w:rPr>
              <w:t>正科级</w:t>
            </w:r>
          </w:p>
        </w:tc>
        <w:tc>
          <w:tcPr>
            <w:tcW w:w="429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ascii="仿宋_GB2312" w:eastAsia="仿宋_GB2312" w:cs="宋体"/>
                <w:kern w:val="0"/>
                <w:sz w:val="32"/>
                <w:szCs w:val="32"/>
              </w:rPr>
              <w:t>财政拨款</w:t>
            </w:r>
          </w:p>
        </w:tc>
      </w:tr>
    </w:tbl>
    <w:p>
      <w:pPr>
        <w:widowControl/>
        <w:spacing w:line="570" w:lineRule="exac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 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hAnsi="Times New Roman" w:eastAsia="仿宋_GB2312" w:cs="Times New Roman"/>
          <w:sz w:val="32"/>
          <w:szCs w:val="32"/>
        </w:rPr>
        <w:t>廊坊市</w:t>
      </w:r>
      <w:r>
        <w:rPr>
          <w:rFonts w:hint="eastAsia" w:ascii="仿宋_GB2312" w:eastAsia="仿宋_GB2312" w:cs="宋体"/>
          <w:color w:val="000000"/>
          <w:kern w:val="0"/>
          <w:sz w:val="32"/>
          <w:szCs w:val="32"/>
        </w:rPr>
        <w:t>广阳区</w:t>
      </w:r>
      <w:r>
        <w:rPr>
          <w:rFonts w:hint="eastAsia" w:ascii="仿宋_GB2312" w:eastAsia="仿宋_GB2312" w:cs="宋体"/>
          <w:color w:val="000000"/>
          <w:kern w:val="0"/>
          <w:sz w:val="32"/>
          <w:szCs w:val="32"/>
          <w:lang w:eastAsia="zh-CN"/>
        </w:rPr>
        <w:t>发改局</w:t>
      </w:r>
      <w:r>
        <w:rPr>
          <w:rFonts w:hint="eastAsia" w:ascii="仿宋_GB2312" w:hAnsi="Times New Roman" w:eastAsia="仿宋_GB2312" w:cs="Times New Roman"/>
          <w:sz w:val="32"/>
          <w:szCs w:val="32"/>
        </w:rPr>
        <w:t>机关及所属事业单位的收支包含在部门预算中</w:t>
      </w:r>
      <w:r>
        <w:rPr>
          <w:rFonts w:hint="eastAsia" w:ascii="仿宋_GB2312" w:hAnsi="Times New Roman" w:eastAsia="仿宋_GB2312" w:cs="Times New Roman"/>
          <w:sz w:val="32"/>
          <w:szCs w:val="32"/>
          <w:lang w:eastAsia="zh-CN"/>
        </w:rPr>
        <w:t>。</w:t>
      </w:r>
    </w:p>
    <w:p>
      <w:pPr>
        <w:widowControl/>
        <w:spacing w:line="570" w:lineRule="exact"/>
        <w:ind w:firstLine="643" w:firstLineChars="200"/>
        <w:jc w:val="left"/>
        <w:rPr>
          <w:rFonts w:ascii="仿宋_GB2312" w:eastAsia="仿宋_GB2312" w:cs="宋体"/>
          <w:color w:val="000000"/>
          <w:kern w:val="0"/>
          <w:sz w:val="32"/>
          <w:szCs w:val="32"/>
        </w:rPr>
      </w:pPr>
      <w:r>
        <w:rPr>
          <w:rFonts w:hint="eastAsia" w:ascii="楷体_GB2312" w:eastAsia="楷体_GB2312" w:cs="宋体"/>
          <w:b/>
          <w:bCs/>
          <w:color w:val="000000"/>
          <w:kern w:val="0"/>
          <w:sz w:val="32"/>
          <w:szCs w:val="32"/>
        </w:rPr>
        <w:t>1、收入说明</w:t>
      </w:r>
    </w:p>
    <w:p>
      <w:pPr>
        <w:widowControl/>
        <w:spacing w:line="570" w:lineRule="exac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年预算收入</w:t>
      </w:r>
      <w:r>
        <w:rPr>
          <w:rFonts w:ascii="仿宋_GB2312" w:eastAsia="仿宋_GB2312" w:cs="宋体"/>
          <w:color w:val="000000"/>
          <w:kern w:val="0"/>
          <w:sz w:val="32"/>
          <w:szCs w:val="32"/>
        </w:rPr>
        <w:t>485.86</w:t>
      </w:r>
      <w:r>
        <w:rPr>
          <w:rFonts w:hint="eastAsia" w:ascii="仿宋_GB2312" w:eastAsia="仿宋_GB2312" w:cs="宋体"/>
          <w:color w:val="000000"/>
          <w:kern w:val="0"/>
          <w:sz w:val="32"/>
          <w:szCs w:val="32"/>
        </w:rPr>
        <w:t>万元，其中：一般公共预算收入</w:t>
      </w:r>
      <w:r>
        <w:rPr>
          <w:rFonts w:ascii="仿宋_GB2312" w:eastAsia="仿宋_GB2312" w:cs="宋体"/>
          <w:color w:val="000000"/>
          <w:kern w:val="0"/>
          <w:sz w:val="32"/>
          <w:szCs w:val="32"/>
        </w:rPr>
        <w:t>485.86</w:t>
      </w:r>
      <w:r>
        <w:rPr>
          <w:rFonts w:hint="eastAsia" w:ascii="仿宋_GB2312" w:eastAsia="仿宋_GB2312" w:cs="宋体"/>
          <w:color w:val="000000"/>
          <w:kern w:val="0"/>
          <w:sz w:val="32"/>
          <w:szCs w:val="32"/>
        </w:rPr>
        <w:t>万元。政府性基金收入0万元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事业收入</w:t>
      </w:r>
      <w:r>
        <w:rPr>
          <w:rFonts w:hint="eastAsia" w:ascii="仿宋_GB2312" w:eastAsia="仿宋_GB2312" w:cs="宋体"/>
          <w:color w:val="000000"/>
          <w:kern w:val="0"/>
          <w:sz w:val="32"/>
          <w:szCs w:val="32"/>
          <w:lang w:val="en-US" w:eastAsia="zh-CN"/>
        </w:rPr>
        <w:t>0万元</w:t>
      </w:r>
      <w:r>
        <w:rPr>
          <w:rFonts w:hint="eastAsia" w:ascii="仿宋_GB2312" w:eastAsia="仿宋_GB2312" w:cs="宋体"/>
          <w:color w:val="000000"/>
          <w:kern w:val="0"/>
          <w:sz w:val="32"/>
          <w:szCs w:val="32"/>
        </w:rPr>
        <w:t>，其他收入</w:t>
      </w:r>
      <w:r>
        <w:rPr>
          <w:rFonts w:hint="eastAsia" w:ascii="仿宋_GB2312" w:eastAsia="仿宋_GB2312" w:cs="宋体"/>
          <w:color w:val="000000"/>
          <w:kern w:val="0"/>
          <w:sz w:val="32"/>
          <w:szCs w:val="32"/>
          <w:lang w:val="en-US" w:eastAsia="zh-CN"/>
        </w:rPr>
        <w:t>0万元</w:t>
      </w:r>
      <w:r>
        <w:rPr>
          <w:rFonts w:hint="eastAsia" w:ascii="仿宋_GB2312" w:eastAsia="仿宋_GB2312" w:cs="宋体"/>
          <w:color w:val="000000"/>
          <w:kern w:val="0"/>
          <w:sz w:val="32"/>
          <w:szCs w:val="32"/>
        </w:rPr>
        <w:t>。</w:t>
      </w:r>
      <w:r>
        <w:rPr>
          <w:rFonts w:hint="eastAsia" w:ascii="仿宋_GB2312" w:eastAsia="仿宋_GB2312" w:cs="宋体"/>
          <w:color w:val="000000"/>
          <w:kern w:val="0"/>
          <w:sz w:val="32"/>
          <w:szCs w:val="32"/>
        </w:rPr>
        <w:br w:type="textWrapping"/>
      </w:r>
      <w:r>
        <w:rPr>
          <w:rFonts w:hint="eastAsia" w:ascii="楷体_GB2312" w:eastAsia="楷体_GB2312" w:cs="宋体"/>
          <w:b/>
          <w:bCs/>
          <w:color w:val="000000"/>
          <w:kern w:val="0"/>
          <w:sz w:val="32"/>
          <w:szCs w:val="32"/>
        </w:rPr>
        <w:t>2、支出说明</w:t>
      </w:r>
    </w:p>
    <w:p>
      <w:pPr>
        <w:spacing w:line="570" w:lineRule="exact"/>
        <w:ind w:firstLine="640"/>
        <w:rPr>
          <w:rFonts w:ascii="仿宋_GB2312" w:eastAsia="仿宋_GB2312" w:cs="宋体"/>
          <w:color w:val="000000"/>
          <w:kern w:val="0"/>
          <w:sz w:val="32"/>
          <w:szCs w:val="32"/>
        </w:rPr>
      </w:pPr>
      <w:r>
        <w:rPr>
          <w:rFonts w:hint="eastAsia" w:ascii="仿宋_GB2312" w:eastAsia="仿宋_GB2312" w:cs="Times New Roman"/>
          <w:sz w:val="32"/>
          <w:szCs w:val="32"/>
        </w:rPr>
        <w:t>收支预算总表支出栏、基本支出表、项目支出表按经济分类和支出功能分类科目编制，反映河北省</w:t>
      </w:r>
      <w:r>
        <w:rPr>
          <w:rFonts w:ascii="仿宋_GB2312" w:eastAsia="仿宋_GB2312" w:cs="Times New Roman"/>
          <w:sz w:val="32"/>
          <w:szCs w:val="32"/>
        </w:rPr>
        <w:t>2018</w:t>
      </w:r>
      <w:r>
        <w:rPr>
          <w:rFonts w:hint="eastAsia" w:ascii="仿宋_GB2312" w:eastAsia="仿宋_GB2312" w:cs="Times New Roman"/>
          <w:sz w:val="32"/>
          <w:szCs w:val="32"/>
        </w:rPr>
        <w:t>年度</w:t>
      </w:r>
      <w:r>
        <w:rPr>
          <w:rFonts w:hint="eastAsia" w:ascii="仿宋_GB2312" w:eastAsia="仿宋_GB2312" w:cs="宋体"/>
          <w:kern w:val="0"/>
          <w:sz w:val="32"/>
          <w:szCs w:val="32"/>
        </w:rPr>
        <w:t>廊坊市广阳区</w:t>
      </w:r>
      <w:r>
        <w:rPr>
          <w:rFonts w:ascii="仿宋_GB2312" w:eastAsia="仿宋_GB2312" w:cs="宋体"/>
          <w:kern w:val="0"/>
          <w:sz w:val="32"/>
          <w:szCs w:val="32"/>
        </w:rPr>
        <w:t>发改局</w:t>
      </w:r>
      <w:r>
        <w:rPr>
          <w:rFonts w:hint="eastAsia" w:ascii="仿宋_GB2312" w:eastAsia="仿宋_GB2312" w:cs="Times New Roman"/>
          <w:sz w:val="32"/>
          <w:szCs w:val="32"/>
        </w:rPr>
        <w:t>部门预算中支出预算的总体情况。</w:t>
      </w:r>
      <w:r>
        <w:rPr>
          <w:rFonts w:ascii="仿宋_GB2312" w:eastAsia="仿宋_GB2312" w:cs="宋体"/>
          <w:color w:val="000000"/>
          <w:kern w:val="0"/>
          <w:sz w:val="32"/>
          <w:szCs w:val="32"/>
        </w:rPr>
        <w:t>2018年支出预算485.86万元，其中基本支出470.86万元，包括人员经费433.78万元和日常公用经费37.08万元；项目支出15万元，包括本级支出15万元，主要为节能降耗、农业区划、项目服务工作经费</w:t>
      </w:r>
      <w:r>
        <w:rPr>
          <w:rFonts w:hint="eastAsia" w:ascii="仿宋_GB2312" w:eastAsia="仿宋_GB2312" w:cs="宋体"/>
          <w:color w:val="000000"/>
          <w:kern w:val="0"/>
          <w:sz w:val="32"/>
          <w:szCs w:val="32"/>
          <w:lang w:val="en-US" w:eastAsia="zh-CN"/>
        </w:rPr>
        <w:t>5万元</w:t>
      </w:r>
      <w:r>
        <w:rPr>
          <w:rFonts w:ascii="仿宋_GB2312" w:eastAsia="仿宋_GB2312" w:cs="宋体"/>
          <w:color w:val="000000"/>
          <w:kern w:val="0"/>
          <w:sz w:val="32"/>
          <w:szCs w:val="32"/>
        </w:rPr>
        <w:t>、项目咨询评估（评审）经费</w:t>
      </w:r>
      <w:r>
        <w:rPr>
          <w:rFonts w:hint="eastAsia" w:ascii="仿宋_GB2312" w:eastAsia="仿宋_GB2312" w:cs="宋体"/>
          <w:color w:val="000000"/>
          <w:kern w:val="0"/>
          <w:sz w:val="32"/>
          <w:szCs w:val="32"/>
          <w:lang w:val="en-US" w:eastAsia="zh-CN"/>
        </w:rPr>
        <w:t>10万元</w:t>
      </w:r>
      <w:r>
        <w:rPr>
          <w:rFonts w:ascii="仿宋_GB2312" w:eastAsia="仿宋_GB2312" w:cs="宋体"/>
          <w:color w:val="000000"/>
          <w:kern w:val="0"/>
          <w:sz w:val="32"/>
          <w:szCs w:val="32"/>
        </w:rPr>
        <w:t>。</w:t>
      </w:r>
    </w:p>
    <w:p>
      <w:pPr>
        <w:widowControl/>
        <w:spacing w:line="570" w:lineRule="exact"/>
        <w:ind w:firstLine="643" w:firstLineChars="200"/>
        <w:jc w:val="left"/>
        <w:rPr>
          <w:rFonts w:ascii="楷体_GB2312" w:eastAsia="楷体_GB2312" w:cs="宋体"/>
          <w:b/>
          <w:bCs/>
          <w:color w:val="000000"/>
          <w:kern w:val="0"/>
          <w:sz w:val="32"/>
          <w:szCs w:val="32"/>
        </w:rPr>
      </w:pPr>
      <w:r>
        <w:rPr>
          <w:rFonts w:hint="eastAsia" w:ascii="楷体_GB2312" w:eastAsia="楷体_GB2312" w:cs="宋体"/>
          <w:b/>
          <w:bCs/>
          <w:color w:val="000000"/>
          <w:kern w:val="0"/>
          <w:sz w:val="32"/>
          <w:szCs w:val="32"/>
        </w:rPr>
        <w:t>3、比上年增减情况</w:t>
      </w:r>
    </w:p>
    <w:p>
      <w:pPr>
        <w:widowControl/>
        <w:spacing w:line="570" w:lineRule="exact"/>
        <w:ind w:firstLine="640" w:firstLineChars="200"/>
        <w:jc w:val="left"/>
        <w:rPr>
          <w:rFonts w:ascii="黑体" w:eastAsia="黑体" w:cs="宋体"/>
          <w:b/>
          <w:bCs/>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年预算收支安排</w:t>
      </w:r>
      <w:r>
        <w:rPr>
          <w:rFonts w:ascii="仿宋_GB2312" w:eastAsia="仿宋_GB2312" w:cs="宋体"/>
          <w:color w:val="000000"/>
          <w:kern w:val="0"/>
          <w:sz w:val="32"/>
          <w:szCs w:val="32"/>
        </w:rPr>
        <w:t>485.86</w:t>
      </w:r>
      <w:r>
        <w:rPr>
          <w:rFonts w:hint="eastAsia" w:ascii="仿宋_GB2312" w:eastAsia="仿宋_GB2312" w:cs="宋体"/>
          <w:color w:val="000000"/>
          <w:kern w:val="0"/>
          <w:sz w:val="32"/>
          <w:szCs w:val="32"/>
        </w:rPr>
        <w:t>万元，较201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年预算增加</w:t>
      </w:r>
      <w:r>
        <w:rPr>
          <w:rFonts w:ascii="仿宋_GB2312" w:eastAsia="仿宋_GB2312" w:cs="宋体"/>
          <w:color w:val="000000"/>
          <w:kern w:val="0"/>
          <w:sz w:val="32"/>
          <w:szCs w:val="32"/>
        </w:rPr>
        <w:t>53.27</w:t>
      </w:r>
      <w:r>
        <w:rPr>
          <w:rFonts w:hint="eastAsia" w:ascii="仿宋_GB2312" w:eastAsia="仿宋_GB2312" w:cs="宋体"/>
          <w:color w:val="000000"/>
          <w:kern w:val="0"/>
          <w:sz w:val="32"/>
          <w:szCs w:val="32"/>
        </w:rPr>
        <w:t>万元，其中：基本支出增加</w:t>
      </w:r>
      <w:r>
        <w:rPr>
          <w:rFonts w:ascii="仿宋_GB2312" w:eastAsia="仿宋_GB2312" w:cs="宋体"/>
          <w:color w:val="000000"/>
          <w:kern w:val="0"/>
          <w:sz w:val="32"/>
          <w:szCs w:val="32"/>
        </w:rPr>
        <w:t>38.27</w:t>
      </w:r>
      <w:r>
        <w:rPr>
          <w:rFonts w:hint="eastAsia" w:ascii="仿宋_GB2312" w:eastAsia="仿宋_GB2312" w:cs="宋体"/>
          <w:color w:val="000000"/>
          <w:kern w:val="0"/>
          <w:sz w:val="32"/>
          <w:szCs w:val="32"/>
        </w:rPr>
        <w:t>万元，主要为增加</w:t>
      </w:r>
      <w:r>
        <w:rPr>
          <w:rFonts w:ascii="仿宋_GB2312" w:eastAsia="仿宋_GB2312" w:cs="宋体"/>
          <w:color w:val="000000"/>
          <w:kern w:val="0"/>
          <w:sz w:val="32"/>
          <w:szCs w:val="32"/>
        </w:rPr>
        <w:t>人员经费</w:t>
      </w:r>
      <w:r>
        <w:rPr>
          <w:rFonts w:hint="eastAsia" w:ascii="仿宋_GB2312" w:eastAsia="仿宋_GB2312" w:cs="宋体"/>
          <w:color w:val="000000"/>
          <w:kern w:val="0"/>
          <w:sz w:val="32"/>
          <w:szCs w:val="32"/>
        </w:rPr>
        <w:t>支出；项目支出</w:t>
      </w:r>
      <w:r>
        <w:rPr>
          <w:rFonts w:hint="eastAsia" w:ascii="仿宋_GB2312" w:eastAsia="仿宋_GB2312" w:cs="宋体"/>
          <w:kern w:val="0"/>
          <w:sz w:val="32"/>
          <w:szCs w:val="32"/>
        </w:rPr>
        <w:t>增加</w:t>
      </w:r>
      <w:r>
        <w:rPr>
          <w:rFonts w:ascii="仿宋_GB2312" w:eastAsia="仿宋_GB2312" w:cs="宋体"/>
          <w:kern w:val="0"/>
          <w:sz w:val="32"/>
          <w:szCs w:val="32"/>
        </w:rPr>
        <w:t>15</w:t>
      </w:r>
      <w:r>
        <w:rPr>
          <w:rFonts w:hint="eastAsia" w:ascii="仿宋_GB2312" w:eastAsia="仿宋_GB2312" w:cs="宋体"/>
          <w:kern w:val="0"/>
          <w:sz w:val="32"/>
          <w:szCs w:val="32"/>
        </w:rPr>
        <w:t>万元，主要增加</w:t>
      </w:r>
      <w:r>
        <w:rPr>
          <w:rFonts w:ascii="仿宋_GB2312" w:eastAsia="仿宋_GB2312" w:cs="宋体"/>
          <w:kern w:val="0"/>
          <w:sz w:val="32"/>
          <w:szCs w:val="32"/>
        </w:rPr>
        <w:t>节</w:t>
      </w:r>
      <w:r>
        <w:rPr>
          <w:rFonts w:ascii="仿宋_GB2312" w:eastAsia="仿宋_GB2312" w:cs="宋体"/>
          <w:color w:val="000000"/>
          <w:kern w:val="0"/>
          <w:sz w:val="32"/>
          <w:szCs w:val="32"/>
        </w:rPr>
        <w:t>能降耗经费、农业区划经费、项目服务工作经费、项目咨询评估（评审）经费支出</w:t>
      </w:r>
      <w:r>
        <w:rPr>
          <w:rFonts w:hint="eastAsia" w:ascii="仿宋_GB2312" w:eastAsia="仿宋_GB2312" w:cs="宋体"/>
          <w:color w:val="000000"/>
          <w:kern w:val="0"/>
          <w:sz w:val="32"/>
          <w:szCs w:val="32"/>
        </w:rPr>
        <w:t>。</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p>
    <w:p>
      <w:pPr>
        <w:widowControl/>
        <w:spacing w:line="570" w:lineRule="exac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年预算安排我部门机关运行经费</w:t>
      </w:r>
      <w:r>
        <w:rPr>
          <w:rFonts w:ascii="仿宋_GB2312" w:eastAsia="仿宋_GB2312" w:cs="宋体"/>
          <w:color w:val="000000"/>
          <w:kern w:val="0"/>
          <w:sz w:val="32"/>
          <w:szCs w:val="32"/>
        </w:rPr>
        <w:t>1.32</w:t>
      </w:r>
      <w:r>
        <w:rPr>
          <w:rFonts w:hint="eastAsia" w:ascii="仿宋_GB2312" w:eastAsia="仿宋_GB2312" w:cs="宋体"/>
          <w:color w:val="000000"/>
          <w:kern w:val="0"/>
          <w:sz w:val="32"/>
          <w:szCs w:val="32"/>
        </w:rPr>
        <w:t>万元，</w:t>
      </w:r>
      <w:r>
        <w:rPr>
          <w:rFonts w:hint="eastAsia" w:ascii="仿宋_GB2312" w:eastAsia="仿宋_GB2312" w:cs="宋体"/>
          <w:color w:val="000000"/>
          <w:kern w:val="0"/>
          <w:sz w:val="32"/>
          <w:szCs w:val="32"/>
          <w:lang w:eastAsia="zh-CN"/>
        </w:rPr>
        <w:t>其中办公经费</w:t>
      </w:r>
      <w:r>
        <w:rPr>
          <w:rFonts w:hint="eastAsia" w:ascii="仿宋_GB2312" w:eastAsia="仿宋_GB2312" w:cs="宋体"/>
          <w:color w:val="000000"/>
          <w:kern w:val="0"/>
          <w:sz w:val="32"/>
          <w:szCs w:val="32"/>
          <w:lang w:val="en-US" w:eastAsia="zh-CN"/>
        </w:rPr>
        <w:t>1.32万元，</w:t>
      </w:r>
      <w:r>
        <w:rPr>
          <w:rFonts w:hint="eastAsia" w:ascii="仿宋_GB2312" w:eastAsia="仿宋_GB2312" w:cs="宋体"/>
          <w:color w:val="000000"/>
          <w:kern w:val="0"/>
          <w:sz w:val="32"/>
          <w:szCs w:val="32"/>
        </w:rPr>
        <w:t>其他业务费</w:t>
      </w:r>
      <w:r>
        <w:rPr>
          <w:rFonts w:ascii="仿宋_GB2312" w:eastAsia="仿宋_GB2312" w:cs="宋体"/>
          <w:color w:val="000000"/>
          <w:kern w:val="0"/>
          <w:sz w:val="32"/>
          <w:szCs w:val="32"/>
        </w:rPr>
        <w:t>0万元。</w:t>
      </w:r>
      <w:r>
        <w:rPr>
          <w:rFonts w:hint="eastAsia" w:ascii="仿宋_GB2312" w:eastAsia="仿宋_GB2312" w:cs="宋体"/>
          <w:color w:val="000000"/>
          <w:kern w:val="0"/>
          <w:sz w:val="32"/>
          <w:szCs w:val="32"/>
        </w:rPr>
        <w:t>主要用于</w:t>
      </w:r>
      <w:r>
        <w:rPr>
          <w:rFonts w:ascii="仿宋_GB2312" w:eastAsia="仿宋_GB2312" w:cs="宋体"/>
          <w:color w:val="000000"/>
          <w:kern w:val="0"/>
          <w:sz w:val="32"/>
          <w:szCs w:val="32"/>
        </w:rPr>
        <w:t>发改局</w:t>
      </w:r>
      <w:r>
        <w:rPr>
          <w:rFonts w:hint="eastAsia" w:ascii="仿宋_GB2312" w:eastAsia="仿宋_GB2312" w:cs="宋体"/>
          <w:color w:val="000000"/>
          <w:kern w:val="0"/>
          <w:sz w:val="32"/>
          <w:szCs w:val="32"/>
        </w:rPr>
        <w:t>日常</w:t>
      </w:r>
      <w:r>
        <w:rPr>
          <w:rFonts w:hint="eastAsia" w:ascii="仿宋_GB2312" w:eastAsia="仿宋_GB2312" w:cs="FZFangSong-Z02"/>
          <w:sz w:val="32"/>
          <w:szCs w:val="32"/>
        </w:rPr>
        <w:t>办公及印刷费、邮电费、差旅费、会议费、日常维修费及一般设备购置费</w:t>
      </w:r>
      <w:r>
        <w:rPr>
          <w:rFonts w:ascii="仿宋_GB2312" w:eastAsia="仿宋_GB2312" w:cs="FZFangSong-Z02"/>
          <w:sz w:val="32"/>
          <w:szCs w:val="32"/>
        </w:rPr>
        <w:t>等</w:t>
      </w:r>
      <w:r>
        <w:rPr>
          <w:rFonts w:hint="eastAsia" w:ascii="仿宋_GB2312" w:eastAsia="仿宋_GB2312" w:cs="宋体"/>
          <w:color w:val="000000"/>
          <w:kern w:val="0"/>
          <w:sz w:val="32"/>
          <w:szCs w:val="32"/>
        </w:rPr>
        <w:t>支出</w:t>
      </w:r>
      <w:r>
        <w:rPr>
          <w:rFonts w:ascii="仿宋_GB2312" w:eastAsia="仿宋_GB2312" w:cs="宋体"/>
          <w:color w:val="000000"/>
          <w:kern w:val="0"/>
          <w:sz w:val="32"/>
          <w:szCs w:val="32"/>
        </w:rPr>
        <w:t>和项目咨询评估（评审）支出。</w:t>
      </w:r>
    </w:p>
    <w:p>
      <w:pPr>
        <w:widowControl/>
        <w:spacing w:line="570" w:lineRule="exac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widowControl/>
        <w:spacing w:line="570" w:lineRule="exac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年，我部门“三公”经费预算安排</w:t>
      </w:r>
      <w:r>
        <w:rPr>
          <w:rFonts w:ascii="仿宋_GB2312" w:eastAsia="仿宋_GB2312" w:cs="宋体"/>
          <w:color w:val="000000"/>
          <w:kern w:val="0"/>
          <w:sz w:val="32"/>
          <w:szCs w:val="32"/>
        </w:rPr>
        <w:t>2.3</w:t>
      </w:r>
      <w:r>
        <w:rPr>
          <w:rFonts w:hint="eastAsia" w:ascii="仿宋_GB2312" w:eastAsia="仿宋_GB2312" w:cs="宋体"/>
          <w:color w:val="000000"/>
          <w:kern w:val="0"/>
          <w:sz w:val="32"/>
          <w:szCs w:val="32"/>
        </w:rPr>
        <w:t>万元，其中因公出国（境）费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万元；公务用车购置及运维费</w:t>
      </w:r>
      <w:r>
        <w:rPr>
          <w:rFonts w:ascii="仿宋_GB2312" w:eastAsia="仿宋_GB2312" w:cs="宋体"/>
          <w:color w:val="000000"/>
          <w:kern w:val="0"/>
          <w:sz w:val="32"/>
          <w:szCs w:val="32"/>
        </w:rPr>
        <w:t>2.3</w:t>
      </w:r>
      <w:r>
        <w:rPr>
          <w:rFonts w:hint="eastAsia" w:ascii="仿宋_GB2312" w:eastAsia="仿宋_GB2312" w:cs="宋体"/>
          <w:color w:val="000000"/>
          <w:kern w:val="0"/>
          <w:sz w:val="32"/>
          <w:szCs w:val="32"/>
        </w:rPr>
        <w:t>万元（其中：公务用车购置费为</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万元，公务用车运行费为</w:t>
      </w:r>
      <w:r>
        <w:rPr>
          <w:rFonts w:ascii="仿宋_GB2312" w:eastAsia="仿宋_GB2312" w:cs="宋体"/>
          <w:color w:val="000000"/>
          <w:kern w:val="0"/>
          <w:sz w:val="32"/>
          <w:szCs w:val="32"/>
        </w:rPr>
        <w:t>2.3</w:t>
      </w:r>
      <w:r>
        <w:rPr>
          <w:rFonts w:hint="eastAsia" w:ascii="仿宋_GB2312" w:eastAsia="仿宋_GB2312" w:cs="宋体"/>
          <w:color w:val="000000"/>
          <w:kern w:val="0"/>
          <w:sz w:val="32"/>
          <w:szCs w:val="32"/>
        </w:rPr>
        <w:t>万元)；公务接待费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较</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年增公务用车运行费4.6万元，主要原因是2017年无此项预算。</w:t>
      </w:r>
    </w:p>
    <w:p>
      <w:pPr>
        <w:pBdr>
          <w:top w:val="none" w:color="auto" w:sz="0" w:space="0"/>
          <w:left w:val="none" w:color="auto" w:sz="0" w:space="0"/>
          <w:bottom w:val="none" w:color="auto" w:sz="0" w:space="0"/>
          <w:right w:val="none" w:color="auto" w:sz="0" w:space="0"/>
        </w:pBdr>
        <w:spacing w:line="570" w:lineRule="exact"/>
        <w:ind w:left="480" w:hanging="482" w:hangingChars="150"/>
        <w:rPr>
          <w:rFonts w:ascii="仿宋_GB2312" w:eastAsia="仿宋_GB2312" w:cs="宋体"/>
          <w:b/>
          <w:bCs/>
          <w:color w:val="000000"/>
          <w:kern w:val="0"/>
          <w:sz w:val="32"/>
          <w:szCs w:val="32"/>
        </w:rPr>
      </w:pP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楷体_GB2312" w:eastAsia="楷体_GB2312" w:cs="宋体"/>
          <w:b/>
          <w:bCs/>
          <w:color w:val="000000"/>
          <w:kern w:val="0"/>
          <w:sz w:val="32"/>
          <w:szCs w:val="32"/>
        </w:rPr>
        <w:t>总体绩效目标：</w:t>
      </w:r>
    </w:p>
    <w:p>
      <w:pPr>
        <w:pBdr>
          <w:top w:val="none" w:color="auto" w:sz="0" w:space="0"/>
          <w:left w:val="none" w:color="auto" w:sz="0" w:space="0"/>
          <w:bottom w:val="none" w:color="auto" w:sz="0" w:space="0"/>
          <w:right w:val="none" w:color="auto" w:sz="0" w:space="0"/>
        </w:pBd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1、拟定并组织实施全区国民经济和社会发展战略、中长期规划和年度计划；提出全区国民经济发展和优化重大经济结构的目标和政策的建议；提出运用各种经济手段和政策的建议；受区政府委托向区人大作国民经济和社会发展计划的报告。</w:t>
      </w:r>
    </w:p>
    <w:p>
      <w:pPr>
        <w:pBdr>
          <w:top w:val="none" w:color="auto" w:sz="0" w:space="0"/>
          <w:left w:val="none" w:color="auto" w:sz="0" w:space="0"/>
          <w:bottom w:val="none" w:color="auto" w:sz="0" w:space="0"/>
          <w:right w:val="none" w:color="auto" w:sz="0" w:space="0"/>
        </w:pBd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2、研究分析国内外、省内外、市内外经济形势和发展情况，进行区域经济的预测、预警；研究涉及全区经济安全的重要问题，提出区域经济调节政策的建议，综合协调经济社会发展；负责日常经济运行的调节，组织解决经济运行中的有关重大问题。</w:t>
      </w:r>
    </w:p>
    <w:p>
      <w:pPr>
        <w:pBdr>
          <w:top w:val="none" w:color="auto" w:sz="0" w:space="0"/>
          <w:left w:val="none" w:color="auto" w:sz="0" w:space="0"/>
          <w:bottom w:val="none" w:color="auto" w:sz="0" w:space="0"/>
          <w:right w:val="none" w:color="auto" w:sz="0" w:space="0"/>
        </w:pBd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3、负责汇总和分析财政、金融等方面的情况，研究贯彻国家财政政策、货币政策以及其它调控政策的措施，组织实施产业政策，监督检查产业政策的执行；受政府委托对相关投融资机构进行宏观指导。</w:t>
      </w:r>
    </w:p>
    <w:p>
      <w:pPr>
        <w:pBdr>
          <w:top w:val="none" w:color="auto" w:sz="0" w:space="0"/>
          <w:left w:val="none" w:color="auto" w:sz="0" w:space="0"/>
          <w:bottom w:val="none" w:color="auto" w:sz="0" w:space="0"/>
          <w:right w:val="none" w:color="auto" w:sz="0" w:space="0"/>
        </w:pBd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4、研究全区经济体制改革和对外开放的重大问题，组织拟定综合性经济体制改革方案，协调有关专项经济体制改革和方案；提出完善社会主义市场经济体制、以改革开放促进发展的建议，指导和推进总体经济体制改革。</w:t>
      </w:r>
    </w:p>
    <w:p>
      <w:pPr>
        <w:pBdr>
          <w:top w:val="none" w:color="auto" w:sz="0" w:space="0"/>
          <w:left w:val="none" w:color="auto" w:sz="0" w:space="0"/>
          <w:bottom w:val="none" w:color="auto" w:sz="0" w:space="0"/>
          <w:right w:val="none" w:color="auto" w:sz="0" w:space="0"/>
        </w:pBd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5、研究提出全社会固定资产投资总规模，编制和实施固定资产投资计划，研究提出投资和建设领域的有关方针政策，负责区（县）级管理的基本建设项目、技改项目的审批、核准、备案。申报市管以上大中型基本建设项目、技术改造项目。安排区级重点项目，争列市以上重点项目。</w:t>
      </w:r>
    </w:p>
    <w:p>
      <w:pPr>
        <w:pBdr>
          <w:top w:val="none" w:color="auto" w:sz="0" w:space="0"/>
          <w:left w:val="none" w:color="auto" w:sz="0" w:space="0"/>
          <w:bottom w:val="none" w:color="auto" w:sz="0" w:space="0"/>
          <w:right w:val="none" w:color="auto" w:sz="0" w:space="0"/>
        </w:pBd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6、研究提出全区利用外资和境外投资的发展战略、总量平衡和结构优化的目标和政策；负责全口径外债的总量控制、结构优化和监测工作；指导和监督国外贷款建设资金的使用，安排利用外资和境外投资重点项目。</w:t>
      </w:r>
    </w:p>
    <w:p>
      <w:pPr>
        <w:pBdr>
          <w:top w:val="none" w:color="auto" w:sz="0" w:space="0"/>
          <w:left w:val="none" w:color="auto" w:sz="0" w:space="0"/>
          <w:bottom w:val="none" w:color="auto" w:sz="0" w:space="0"/>
          <w:right w:val="none" w:color="auto" w:sz="0" w:space="0"/>
        </w:pBd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7、推进产业结构战略性调整和升级；提出国民经济重要产业的发展战略和规划；研究并协调农业和农村经济社会发展的有关重大问题，做好农业资源区划，衔接农村专项规划和政策；拟定以工代赈扶贫规划和计划；指导工业发展，推进工业化和信息化；拟定工业行业规划；推进高技术产业发展，实施技术进步和产业现代化的宏观指导。</w:t>
      </w:r>
    </w:p>
    <w:p>
      <w:pPr>
        <w:pBdr>
          <w:top w:val="none" w:color="auto" w:sz="0" w:space="0"/>
          <w:left w:val="none" w:color="auto" w:sz="0" w:space="0"/>
          <w:bottom w:val="none" w:color="auto" w:sz="0" w:space="0"/>
          <w:right w:val="none" w:color="auto" w:sz="0" w:space="0"/>
        </w:pBd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8、研究分析区域经济和城镇化发展情况，搞好资源开发，生产力布局和生态环境建设规划；提出区域经济协调发展的政策建议，推进城镇化建设。</w:t>
      </w:r>
    </w:p>
    <w:p>
      <w:pPr>
        <w:pBdr>
          <w:top w:val="none" w:color="auto" w:sz="0" w:space="0"/>
          <w:left w:val="none" w:color="auto" w:sz="0" w:space="0"/>
          <w:bottom w:val="none" w:color="auto" w:sz="0" w:space="0"/>
          <w:right w:val="none" w:color="auto" w:sz="0" w:space="0"/>
        </w:pBd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9、研究分析国内外、省内外、市内外市场状况，负责区内重要商品总量平衡和宏观调控；编制重要农产品、工业品和原材料进出口总量计划，监督计划执行情况，并根据经济运行情况对进出口总量计划进行调整；管理粮食、棉花、食糖、石油和药品等重要物资和商品的市区储备；研究提出现代物流业发展规划，协调流通体制改革的重大问题；规划和指导全区服务业的建设和发展。</w:t>
      </w:r>
    </w:p>
    <w:p>
      <w:pPr>
        <w:pBdr>
          <w:top w:val="none" w:color="auto" w:sz="0" w:space="0"/>
          <w:left w:val="none" w:color="auto" w:sz="0" w:space="0"/>
          <w:bottom w:val="none" w:color="auto" w:sz="0" w:space="0"/>
          <w:right w:val="none" w:color="auto" w:sz="0" w:space="0"/>
        </w:pBd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10、做好人口和计划生育、科学技术、教育、文化、卫生等社会事业以及国防建设与国民经济发展的衔接平衡；提出经济与社会协调发展、相互促进的政策，协调社会事业发展的重大问题。</w:t>
      </w:r>
    </w:p>
    <w:p>
      <w:pPr>
        <w:pBdr>
          <w:top w:val="none" w:color="auto" w:sz="0" w:space="0"/>
          <w:left w:val="none" w:color="auto" w:sz="0" w:space="0"/>
          <w:bottom w:val="none" w:color="auto" w:sz="0" w:space="0"/>
          <w:right w:val="none" w:color="auto" w:sz="0" w:space="0"/>
        </w:pBd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11、推进可持续发展战略，研究拟定资源节约综合利用规划，编制生态建设规划，提出资源节约综合利用的政策建议；组织协调环保产业工作。</w:t>
      </w:r>
    </w:p>
    <w:p>
      <w:pPr>
        <w:pBdr>
          <w:top w:val="none" w:color="auto" w:sz="0" w:space="0"/>
          <w:left w:val="none" w:color="auto" w:sz="0" w:space="0"/>
          <w:bottom w:val="none" w:color="auto" w:sz="0" w:space="0"/>
          <w:right w:val="none" w:color="auto" w:sz="0" w:space="0"/>
        </w:pBd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12、研究多种所有制经济的状况，提出优化所有制结构和企业组织结构的建议，促进各种所有制企业公平竞争和共同发展；宏观指导和协调促进中小企业、非国有经济发展的重大问题。</w:t>
      </w:r>
    </w:p>
    <w:p>
      <w:pPr>
        <w:pBdr>
          <w:top w:val="none" w:color="auto" w:sz="0" w:space="0"/>
          <w:left w:val="none" w:color="auto" w:sz="0" w:space="0"/>
          <w:bottom w:val="none" w:color="auto" w:sz="0" w:space="0"/>
          <w:right w:val="none" w:color="auto" w:sz="0" w:space="0"/>
        </w:pBd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13、研究提出促进就业、调整收入分配、完善社会保障与经济协调发展的政策，协调就业、收入分配和社会保障的重大问题。</w:t>
      </w:r>
    </w:p>
    <w:p>
      <w:pPr>
        <w:pBdr>
          <w:top w:val="none" w:color="auto" w:sz="0" w:space="0"/>
          <w:left w:val="none" w:color="auto" w:sz="0" w:space="0"/>
          <w:bottom w:val="none" w:color="auto" w:sz="0" w:space="0"/>
          <w:right w:val="none" w:color="auto" w:sz="0" w:space="0"/>
        </w:pBd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14、参与国民经济和社会发展以及经济体制改革、对外开放有关地方性法规、规章的组织实施工作。</w:t>
      </w:r>
    </w:p>
    <w:p>
      <w:pPr>
        <w:pBdr>
          <w:top w:val="none" w:color="auto" w:sz="0" w:space="0"/>
          <w:left w:val="none" w:color="auto" w:sz="0" w:space="0"/>
          <w:bottom w:val="none" w:color="auto" w:sz="0" w:space="0"/>
          <w:right w:val="none" w:color="auto" w:sz="0" w:space="0"/>
        </w:pBd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15、组织、指导全区经济、技术交流与合作。</w:t>
      </w:r>
    </w:p>
    <w:p>
      <w:pPr>
        <w:pBdr>
          <w:top w:val="none" w:color="auto" w:sz="0" w:space="0"/>
          <w:left w:val="none" w:color="auto" w:sz="0" w:space="0"/>
          <w:bottom w:val="none" w:color="auto" w:sz="0" w:space="0"/>
          <w:right w:val="none" w:color="auto" w:sz="0" w:space="0"/>
        </w:pBdr>
        <w:spacing w:line="570" w:lineRule="exact"/>
        <w:ind w:left="480" w:hanging="480" w:hangingChars="15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lang w:val="en-US" w:eastAsia="zh-CN"/>
        </w:rPr>
        <w:t>16、承办区政府交办的其他事项。</w:t>
      </w:r>
    </w:p>
    <w:p>
      <w:pPr>
        <w:pBdr>
          <w:top w:val="none" w:color="auto" w:sz="0" w:space="0"/>
          <w:left w:val="none" w:color="auto" w:sz="0" w:space="0"/>
          <w:bottom w:val="none" w:color="auto" w:sz="0" w:space="0"/>
          <w:right w:val="none" w:color="auto" w:sz="0" w:space="0"/>
        </w:pBdr>
        <w:spacing w:line="570" w:lineRule="exact"/>
        <w:ind w:firstLine="480" w:firstLineChars="150"/>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楷体_GB2312" w:eastAsia="楷体_GB2312" w:cs="宋体"/>
          <w:b/>
          <w:bCs/>
          <w:color w:val="000000"/>
          <w:kern w:val="0"/>
          <w:sz w:val="32"/>
          <w:szCs w:val="32"/>
        </w:rPr>
        <w:t>职责分类绩效目标：</w:t>
      </w:r>
    </w:p>
    <w:p>
      <w:pPr>
        <w:pBdr>
          <w:top w:val="none" w:color="auto" w:sz="0" w:space="0"/>
          <w:left w:val="none" w:color="auto" w:sz="0" w:space="0"/>
          <w:bottom w:val="none" w:color="auto" w:sz="0" w:space="0"/>
          <w:right w:val="none" w:color="auto" w:sz="0" w:space="0"/>
        </w:pBdr>
        <w:spacing w:line="570" w:lineRule="exact"/>
        <w:ind w:left="479" w:leftChars="228" w:firstLine="80" w:firstLineChars="25"/>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1、编制《关于廊坊市广阳区2017年国民经济和社会发展计划执行情况及2018年计划（草案）的报告》并提交区“两会”，待两会审议通过后分解下达到各乡镇、街办处和区直有关部门。</w:t>
      </w:r>
    </w:p>
    <w:p>
      <w:pPr>
        <w:pBdr>
          <w:top w:val="none" w:color="auto" w:sz="0" w:space="0"/>
          <w:left w:val="none" w:color="auto" w:sz="0" w:space="0"/>
          <w:bottom w:val="none" w:color="auto" w:sz="0" w:space="0"/>
          <w:right w:val="none" w:color="auto" w:sz="0" w:space="0"/>
        </w:pBd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2、继续开展全面经济运行分析，准确把握经济运行脉搏，及时发现影响全区发展的问题，提出有针对性的对策措施，为领导决策提供参考和思路。加强调查研究，选准、选好课题，拿出高质量的调研材料，促进科学决策，为各级领导提供更好的服务。</w:t>
      </w:r>
    </w:p>
    <w:p>
      <w:pPr>
        <w:pBdr>
          <w:top w:val="none" w:color="auto" w:sz="0" w:space="0"/>
          <w:left w:val="none" w:color="auto" w:sz="0" w:space="0"/>
          <w:bottom w:val="none" w:color="auto" w:sz="0" w:space="0"/>
          <w:right w:val="none" w:color="auto" w:sz="0" w:space="0"/>
        </w:pBd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3、组织好广阳区2018年“5.18”经洽会、项目集体开工和“9.26”农交会上会签约项目和招商项目发布工作。</w:t>
      </w:r>
    </w:p>
    <w:p>
      <w:pPr>
        <w:pBdr>
          <w:top w:val="none" w:color="auto" w:sz="0" w:space="0"/>
          <w:left w:val="none" w:color="auto" w:sz="0" w:space="0"/>
          <w:bottom w:val="none" w:color="auto" w:sz="0" w:space="0"/>
          <w:right w:val="none" w:color="auto" w:sz="0" w:space="0"/>
        </w:pBd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4、汇同区直相关部门，协调省、市发改委，加大跑办力度，积极争列国债资金项目和中央、省预算内资金项目，努力为我区申请国债资金和中央、省预算内资金支持。</w:t>
      </w:r>
    </w:p>
    <w:p>
      <w:pPr>
        <w:pBdr>
          <w:top w:val="none" w:color="auto" w:sz="0" w:space="0"/>
          <w:left w:val="none" w:color="auto" w:sz="0" w:space="0"/>
          <w:bottom w:val="none" w:color="auto" w:sz="0" w:space="0"/>
          <w:right w:val="none" w:color="auto" w:sz="0" w:space="0"/>
        </w:pBd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5、协调省市发改委和重点办，指导乡镇、街道办事处和项目单位，积极申报省市重点项目和省重点产业支撑项目。</w:t>
      </w:r>
    </w:p>
    <w:p>
      <w:pPr>
        <w:pBdr>
          <w:top w:val="none" w:color="auto" w:sz="0" w:space="0"/>
          <w:left w:val="none" w:color="auto" w:sz="0" w:space="0"/>
          <w:bottom w:val="none" w:color="auto" w:sz="0" w:space="0"/>
          <w:right w:val="none" w:color="auto" w:sz="0" w:space="0"/>
        </w:pBd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6、依托项目服务中心，全力抓好项目服务。通过加强服务人员业务培训、改善服务中心硬件条件等措施不断提高服务质量，营造良好的项目服务氛围，为建设项目提供全方位、优质、快速、便捷的服务，实现由管理型政府向服务型政府的转变，</w:t>
      </w:r>
    </w:p>
    <w:p>
      <w:pPr>
        <w:pBdr>
          <w:top w:val="none" w:color="auto" w:sz="0" w:space="0"/>
          <w:left w:val="none" w:color="auto" w:sz="0" w:space="0"/>
          <w:bottom w:val="none" w:color="auto" w:sz="0" w:space="0"/>
          <w:right w:val="none" w:color="auto" w:sz="0" w:space="0"/>
        </w:pBd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7、按照省市统一要求，贯彻落实《节能法》，加强节能监察与监测，全面做好节能工作，</w:t>
      </w:r>
    </w:p>
    <w:p>
      <w:pPr>
        <w:pBdr>
          <w:top w:val="none" w:color="auto" w:sz="0" w:space="0"/>
          <w:left w:val="none" w:color="auto" w:sz="0" w:space="0"/>
          <w:bottom w:val="none" w:color="auto" w:sz="0" w:space="0"/>
          <w:right w:val="none" w:color="auto" w:sz="0" w:space="0"/>
        </w:pBd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8、严格按照“深入调研、结合实际、规划先行”的工作原则，全力做好农业资源区划工作，完成省、市区划办部署的农业资源区划专项调研任务。</w:t>
      </w:r>
    </w:p>
    <w:p>
      <w:pPr>
        <w:autoSpaceDE w:val="0"/>
        <w:autoSpaceDN w:val="0"/>
        <w:adjustRightInd w:val="0"/>
        <w:spacing w:line="570" w:lineRule="exact"/>
        <w:ind w:left="198" w:firstLine="320" w:firstLineChars="100"/>
        <w:jc w:val="left"/>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en-US" w:eastAsia="zh-CN"/>
        </w:rPr>
        <w:t>9、协助区政府做好经济体制改革工作，组织实施全区产业结构调整工，宏观指导和协调促进区属企业的改制工作。</w:t>
      </w:r>
    </w:p>
    <w:p>
      <w:pPr>
        <w:autoSpaceDE w:val="0"/>
        <w:autoSpaceDN w:val="0"/>
        <w:adjustRightInd w:val="0"/>
        <w:spacing w:line="570" w:lineRule="exact"/>
        <w:ind w:left="198" w:firstLine="320" w:firstLineChars="100"/>
        <w:jc w:val="left"/>
        <w:rPr>
          <w:rFonts w:hint="eastAsia" w:ascii="仿宋_GB2312" w:eastAsia="仿宋_GB2312" w:cs="宋体"/>
          <w:color w:val="000000"/>
          <w:kern w:val="0"/>
          <w:sz w:val="32"/>
          <w:szCs w:val="32"/>
          <w:lang w:val="en-US" w:eastAsia="zh-CN"/>
        </w:rPr>
      </w:pPr>
    </w:p>
    <w:p>
      <w:pPr>
        <w:widowControl/>
        <w:spacing w:line="570" w:lineRule="exact"/>
        <w:ind w:left="0"/>
        <w:jc w:val="center"/>
        <w:rPr>
          <w:rFonts w:ascii="仿宋_GB2312" w:eastAsia="仿宋_GB2312" w:cs="宋体"/>
          <w:b/>
          <w:bCs/>
          <w:color w:val="000000"/>
          <w:kern w:val="0"/>
          <w:sz w:val="32"/>
          <w:szCs w:val="32"/>
        </w:rPr>
      </w:pPr>
      <w:r>
        <w:rPr>
          <w:rFonts w:hint="eastAsia" w:ascii="宋体" w:hAnsi="宋体" w:eastAsia="仿宋_GB2312" w:cs="宋体"/>
          <w:b/>
          <w:bCs/>
          <w:color w:val="000000"/>
          <w:kern w:val="0"/>
          <w:sz w:val="32"/>
          <w:szCs w:val="32"/>
        </w:rPr>
        <w:t> </w:t>
      </w:r>
      <w:r>
        <w:rPr>
          <w:rFonts w:hint="eastAsia" w:ascii="楷体_GB2312" w:eastAsia="楷体_GB2312" w:cs="宋体"/>
          <w:b/>
          <w:bCs/>
          <w:color w:val="000000"/>
          <w:kern w:val="0"/>
          <w:sz w:val="32"/>
          <w:szCs w:val="32"/>
        </w:rPr>
        <w:t>部门职责-工作活动绩效目标</w:t>
      </w:r>
    </w:p>
    <w:tbl>
      <w:tblPr>
        <w:tblStyle w:val="4"/>
        <w:tblW w:w="13934"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108" w:type="dxa"/>
          <w:bottom w:w="0" w:type="dxa"/>
          <w:right w:w="108" w:type="dxa"/>
        </w:tblCellMar>
      </w:tblPr>
      <w:tblGrid>
        <w:gridCol w:w="2028"/>
        <w:gridCol w:w="1155"/>
        <w:gridCol w:w="3410"/>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bottom w:val="single" w:color="000000" w:sz="6" w:space="0"/>
              <w:right w:val="single" w:color="FFFFFF"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221廊坊市广阳区发展改革局</w:t>
            </w:r>
          </w:p>
        </w:tc>
        <w:tc>
          <w:tcPr>
            <w:tcW w:w="2948" w:type="dxa"/>
            <w:gridSpan w:val="4"/>
            <w:tcBorders>
              <w:top w:val="single" w:color="FFFFFF" w:sz="6" w:space="0"/>
              <w:left w:val="single" w:color="FFFFFF" w:sz="6" w:space="0"/>
              <w:bottom w:val="single" w:color="000000" w:sz="6" w:space="0"/>
              <w:right w:val="single" w:color="FFFFFF"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right"/>
              <w:rPr>
                <w:rFonts w:hint="eastAsia" w:ascii="仿宋_GB2312" w:eastAsia="仿宋_GB2312"/>
                <w:sz w:val="24"/>
                <w:szCs w:val="24"/>
              </w:rPr>
            </w:pPr>
            <w:r>
              <w:rPr>
                <w:rFonts w:hint="eastAsia" w:ascii="仿宋_GB2312" w:eastAsia="仿宋_GB2312"/>
                <w:sz w:val="24"/>
                <w:szCs w:val="24"/>
              </w:rPr>
              <w:t>单位：万元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cantSplit/>
          <w:trHeight w:val="227" w:hRule="atLeast"/>
          <w:tblHeader/>
          <w:jc w:val="center"/>
        </w:trPr>
        <w:tc>
          <w:tcPr>
            <w:tcW w:w="2028"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b/>
                <w:bCs w:val="0"/>
                <w:sz w:val="24"/>
                <w:szCs w:val="24"/>
              </w:rPr>
            </w:pPr>
            <w:r>
              <w:rPr>
                <w:rFonts w:hint="eastAsia" w:ascii="仿宋_GB2312" w:eastAsia="仿宋_GB2312"/>
                <w:b/>
                <w:bCs w:val="0"/>
                <w:sz w:val="24"/>
                <w:szCs w:val="24"/>
              </w:rPr>
              <w:t>职责活动</w:t>
            </w:r>
          </w:p>
        </w:tc>
        <w:tc>
          <w:tcPr>
            <w:tcW w:w="1155"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b/>
                <w:bCs w:val="0"/>
                <w:sz w:val="24"/>
                <w:szCs w:val="24"/>
              </w:rPr>
            </w:pPr>
            <w:r>
              <w:rPr>
                <w:rFonts w:hint="eastAsia" w:ascii="仿宋_GB2312" w:eastAsia="仿宋_GB2312"/>
                <w:b/>
                <w:bCs w:val="0"/>
                <w:sz w:val="24"/>
                <w:szCs w:val="24"/>
              </w:rPr>
              <w:t>年度预算数</w:t>
            </w:r>
          </w:p>
        </w:tc>
        <w:tc>
          <w:tcPr>
            <w:tcW w:w="3410"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b/>
                <w:bCs w:val="0"/>
                <w:sz w:val="24"/>
                <w:szCs w:val="24"/>
              </w:rPr>
            </w:pPr>
            <w:r>
              <w:rPr>
                <w:rFonts w:hint="eastAsia" w:ascii="仿宋_GB2312" w:eastAsia="仿宋_GB2312"/>
                <w:b/>
                <w:bCs w:val="0"/>
                <w:sz w:val="24"/>
                <w:szCs w:val="24"/>
              </w:rPr>
              <w:t>内容描述</w:t>
            </w:r>
          </w:p>
        </w:tc>
        <w:tc>
          <w:tcPr>
            <w:tcW w:w="2976"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b/>
                <w:bCs w:val="0"/>
                <w:sz w:val="24"/>
                <w:szCs w:val="24"/>
              </w:rPr>
            </w:pPr>
            <w:r>
              <w:rPr>
                <w:rFonts w:hint="eastAsia" w:ascii="仿宋_GB2312" w:eastAsia="仿宋_GB2312"/>
                <w:b/>
                <w:bCs w:val="0"/>
                <w:sz w:val="24"/>
                <w:szCs w:val="24"/>
              </w:rPr>
              <w:t>绩效目标</w:t>
            </w:r>
          </w:p>
        </w:tc>
        <w:tc>
          <w:tcPr>
            <w:tcW w:w="1417"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b/>
                <w:bCs w:val="0"/>
                <w:sz w:val="24"/>
                <w:szCs w:val="24"/>
              </w:rPr>
            </w:pPr>
            <w:r>
              <w:rPr>
                <w:rFonts w:hint="eastAsia" w:ascii="仿宋_GB2312" w:eastAsia="仿宋_GB2312"/>
                <w:b/>
                <w:bCs w:val="0"/>
                <w:sz w:val="24"/>
                <w:szCs w:val="24"/>
              </w:rPr>
              <w:t>绩效指标</w:t>
            </w:r>
          </w:p>
        </w:tc>
        <w:tc>
          <w:tcPr>
            <w:tcW w:w="2948" w:type="dxa"/>
            <w:gridSpan w:val="4"/>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b/>
                <w:bCs w:val="0"/>
                <w:sz w:val="24"/>
                <w:szCs w:val="24"/>
              </w:rPr>
            </w:pPr>
            <w:r>
              <w:rPr>
                <w:rFonts w:hint="eastAsia" w:ascii="仿宋_GB2312" w:eastAsia="仿宋_GB2312"/>
                <w:b/>
                <w:bCs w:val="0"/>
                <w:sz w:val="24"/>
                <w:szCs w:val="24"/>
              </w:rPr>
              <w:t>评价标准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cantSplit/>
          <w:trHeight w:val="227" w:hRule="atLeast"/>
          <w:tblHeader/>
          <w:jc w:val="center"/>
        </w:trPr>
        <w:tc>
          <w:tcPr>
            <w:tcW w:w="2028"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155"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341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417"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b/>
                <w:bCs w:val="0"/>
                <w:sz w:val="24"/>
                <w:szCs w:val="24"/>
              </w:rPr>
            </w:pPr>
            <w:r>
              <w:rPr>
                <w:rFonts w:hint="eastAsia" w:ascii="仿宋_GB2312" w:eastAsia="仿宋_GB2312"/>
                <w:b/>
                <w:bCs w:val="0"/>
                <w:sz w:val="24"/>
                <w:szCs w:val="24"/>
              </w:rPr>
              <w:t>优</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b/>
                <w:bCs w:val="0"/>
                <w:sz w:val="24"/>
                <w:szCs w:val="24"/>
              </w:rPr>
            </w:pPr>
            <w:r>
              <w:rPr>
                <w:rFonts w:hint="eastAsia" w:ascii="仿宋_GB2312" w:eastAsia="仿宋_GB2312"/>
                <w:b/>
                <w:bCs w:val="0"/>
                <w:sz w:val="24"/>
                <w:szCs w:val="24"/>
              </w:rPr>
              <w:t>良</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b/>
                <w:bCs w:val="0"/>
                <w:sz w:val="24"/>
                <w:szCs w:val="24"/>
              </w:rPr>
            </w:pPr>
            <w:r>
              <w:rPr>
                <w:rFonts w:hint="eastAsia" w:ascii="仿宋_GB2312" w:eastAsia="仿宋_GB2312"/>
                <w:b/>
                <w:bCs w:val="0"/>
                <w:sz w:val="24"/>
                <w:szCs w:val="24"/>
              </w:rPr>
              <w:t>中</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b/>
                <w:bCs w:val="0"/>
                <w:sz w:val="24"/>
                <w:szCs w:val="24"/>
              </w:rPr>
            </w:pPr>
            <w:r>
              <w:rPr>
                <w:rFonts w:hint="eastAsia" w:ascii="仿宋_GB2312" w:eastAsia="仿宋_GB2312"/>
                <w:b/>
                <w:bCs w:val="0"/>
                <w:sz w:val="24"/>
                <w:szCs w:val="24"/>
              </w:rPr>
              <w:t>差</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227" w:hRule="atLeast"/>
          <w:jc w:val="center"/>
        </w:trPr>
        <w:tc>
          <w:tcPr>
            <w:tcW w:w="2028"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b/>
                <w:bCs w:val="0"/>
                <w:sz w:val="24"/>
                <w:szCs w:val="24"/>
              </w:rPr>
            </w:pPr>
            <w:r>
              <w:rPr>
                <w:rFonts w:hint="eastAsia" w:ascii="仿宋_GB2312" w:eastAsia="仿宋_GB2312"/>
                <w:b/>
                <w:bCs w:val="0"/>
                <w:sz w:val="24"/>
                <w:szCs w:val="24"/>
              </w:rPr>
              <w:t>一、重点建设项目建设的监督和管理</w:t>
            </w:r>
          </w:p>
        </w:tc>
        <w:tc>
          <w:tcPr>
            <w:tcW w:w="1155"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p>
        </w:tc>
        <w:tc>
          <w:tcPr>
            <w:tcW w:w="3410"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组织谋划、实施事关全区经济和社会发展全局的重大项目；申列省、市重点项目；协调、调度、督导重点项目建设前期工作；统计上报全区项目建设情况。</w:t>
            </w:r>
          </w:p>
        </w:tc>
        <w:tc>
          <w:tcPr>
            <w:tcW w:w="2976"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提升公共设施水平，提高公共服务能力，促进经济和社会发展。</w:t>
            </w: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cantSplit/>
          <w:trHeight w:val="227" w:hRule="atLeast"/>
          <w:jc w:val="center"/>
        </w:trPr>
        <w:tc>
          <w:tcPr>
            <w:tcW w:w="2028"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b/>
                <w:bCs w:val="0"/>
                <w:sz w:val="24"/>
                <w:szCs w:val="24"/>
              </w:rPr>
            </w:pPr>
            <w:r>
              <w:rPr>
                <w:rFonts w:hint="eastAsia" w:ascii="仿宋_GB2312" w:eastAsia="仿宋_GB2312"/>
                <w:b/>
                <w:bCs w:val="0"/>
                <w:sz w:val="24"/>
                <w:szCs w:val="24"/>
              </w:rPr>
              <w:t>　　1、组织实施重点建设项目监督管理</w:t>
            </w:r>
          </w:p>
        </w:tc>
        <w:tc>
          <w:tcPr>
            <w:tcW w:w="1155"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p>
        </w:tc>
        <w:tc>
          <w:tcPr>
            <w:tcW w:w="3410"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组织筛选和实施重点建设项目，协调建设要素及推进中的重大问题；组织开展重点建设项目稽察；组织开展对工作活动范围内的项目单位在前期手续、投资计划和资金下达、建设实施、建设管理、进度控制、竣工验收等方面实施情况的监督检查。</w:t>
            </w:r>
          </w:p>
        </w:tc>
        <w:tc>
          <w:tcPr>
            <w:tcW w:w="2976"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加强重点项目谋划、协调、督导，推动重点项目顺利实施。加强项目监管，保证建设项目工程质量和建设资金安全有效使用；努力申报省市重点项目。</w:t>
            </w: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重点项目全部入统项目管理平台</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100.00%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80.00%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50.00%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cantSplit/>
          <w:trHeight w:val="227" w:hRule="atLeast"/>
          <w:jc w:val="center"/>
        </w:trPr>
        <w:tc>
          <w:tcPr>
            <w:tcW w:w="2028"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155"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341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年度项目建设计划</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100.00%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80.00%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50.00%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cantSplit/>
          <w:trHeight w:val="227" w:hRule="atLeast"/>
          <w:jc w:val="center"/>
        </w:trPr>
        <w:tc>
          <w:tcPr>
            <w:tcW w:w="2028"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155"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341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通报项目建设情况次数</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100.00%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80.00%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50.00%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227" w:hRule="atLeast"/>
          <w:jc w:val="center"/>
        </w:trPr>
        <w:tc>
          <w:tcPr>
            <w:tcW w:w="2028"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b/>
                <w:bCs w:val="0"/>
                <w:sz w:val="24"/>
                <w:szCs w:val="24"/>
              </w:rPr>
            </w:pPr>
            <w:r>
              <w:rPr>
                <w:rFonts w:hint="eastAsia" w:ascii="仿宋_GB2312" w:eastAsia="仿宋_GB2312"/>
                <w:b/>
                <w:bCs w:val="0"/>
                <w:sz w:val="24"/>
                <w:szCs w:val="24"/>
              </w:rPr>
              <w:t>二、组织编制经济社会发展规划和计划</w:t>
            </w:r>
          </w:p>
        </w:tc>
        <w:tc>
          <w:tcPr>
            <w:tcW w:w="1155"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p>
        </w:tc>
        <w:tc>
          <w:tcPr>
            <w:tcW w:w="3410"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组织拟订广阳区经济社会发展规划。</w:t>
            </w:r>
          </w:p>
        </w:tc>
        <w:tc>
          <w:tcPr>
            <w:tcW w:w="2976"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增强规划和计划的前瞻性、科学性、可操作性；规划目标全面、先进、可行；组织落实措施得力，调度有序。</w:t>
            </w: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cantSplit/>
          <w:trHeight w:val="227" w:hRule="atLeast"/>
          <w:jc w:val="center"/>
        </w:trPr>
        <w:tc>
          <w:tcPr>
            <w:tcW w:w="2028"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b/>
                <w:bCs w:val="0"/>
                <w:sz w:val="24"/>
                <w:szCs w:val="24"/>
              </w:rPr>
            </w:pPr>
            <w:r>
              <w:rPr>
                <w:rFonts w:hint="eastAsia" w:ascii="仿宋_GB2312" w:eastAsia="仿宋_GB2312"/>
                <w:b/>
                <w:bCs w:val="0"/>
                <w:sz w:val="24"/>
                <w:szCs w:val="24"/>
              </w:rPr>
              <w:t>　　1、经济社会发展中长期规划编制</w:t>
            </w:r>
          </w:p>
        </w:tc>
        <w:tc>
          <w:tcPr>
            <w:tcW w:w="1155"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p>
        </w:tc>
        <w:tc>
          <w:tcPr>
            <w:tcW w:w="3410"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组织拟定我区经济社会发展中长期规划统筹协调县级专项规划和区域规划。</w:t>
            </w:r>
          </w:p>
        </w:tc>
        <w:tc>
          <w:tcPr>
            <w:tcW w:w="2976"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规划和计划前瞻性、科学性、可操作性较强；规划目标全面、先进、可行；经济社会发展计划切实体现区委、区政府决策目标和部署。</w:t>
            </w: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年度国民经济和社会发展执行情况报告编制完成率</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100.00%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80.00%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50.00%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cantSplit/>
          <w:trHeight w:val="227" w:hRule="atLeast"/>
          <w:jc w:val="center"/>
        </w:trPr>
        <w:tc>
          <w:tcPr>
            <w:tcW w:w="2028"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155"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341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年度国民经济和社会发展执行情况编制是否按时完成</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100.00%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80.00%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50.00%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cantSplit/>
          <w:trHeight w:val="227" w:hRule="atLeast"/>
          <w:jc w:val="center"/>
        </w:trPr>
        <w:tc>
          <w:tcPr>
            <w:tcW w:w="2028"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155"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341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区人大代表是否表决通过</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100.00%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80.00%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50.00%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227" w:hRule="atLeast"/>
          <w:jc w:val="center"/>
        </w:trPr>
        <w:tc>
          <w:tcPr>
            <w:tcW w:w="2028"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b/>
                <w:bCs w:val="0"/>
                <w:sz w:val="24"/>
                <w:szCs w:val="24"/>
              </w:rPr>
            </w:pPr>
            <w:r>
              <w:rPr>
                <w:rFonts w:hint="eastAsia" w:ascii="仿宋_GB2312" w:eastAsia="仿宋_GB2312"/>
                <w:b/>
                <w:bCs w:val="0"/>
                <w:sz w:val="24"/>
                <w:szCs w:val="24"/>
              </w:rPr>
              <w:t>三、经济和社会运行监测、调节与协调</w:t>
            </w:r>
          </w:p>
        </w:tc>
        <w:tc>
          <w:tcPr>
            <w:tcW w:w="1155"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p>
        </w:tc>
        <w:tc>
          <w:tcPr>
            <w:tcW w:w="3410"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负责区内重要物资和商品总量平衡和调控。</w:t>
            </w:r>
          </w:p>
        </w:tc>
        <w:tc>
          <w:tcPr>
            <w:tcW w:w="2976"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做好经济运行监测分析，协调经济社会运行平稳有序和健康发展，提升全区经济、装备动员能力</w:t>
            </w: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cantSplit/>
          <w:trHeight w:val="227" w:hRule="atLeast"/>
          <w:jc w:val="center"/>
        </w:trPr>
        <w:tc>
          <w:tcPr>
            <w:tcW w:w="2028"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b/>
                <w:bCs w:val="0"/>
                <w:sz w:val="24"/>
                <w:szCs w:val="24"/>
              </w:rPr>
            </w:pPr>
            <w:r>
              <w:rPr>
                <w:rFonts w:hint="eastAsia" w:ascii="仿宋_GB2312" w:eastAsia="仿宋_GB2312"/>
                <w:b/>
                <w:bCs w:val="0"/>
                <w:sz w:val="24"/>
                <w:szCs w:val="24"/>
              </w:rPr>
              <w:t>　　1、经济社会发展形势监测分析、运行调节和政策建议</w:t>
            </w:r>
          </w:p>
        </w:tc>
        <w:tc>
          <w:tcPr>
            <w:tcW w:w="1155"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p>
        </w:tc>
        <w:tc>
          <w:tcPr>
            <w:tcW w:w="3410"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负责县级经济社会发展运行调节、监测。</w:t>
            </w:r>
          </w:p>
        </w:tc>
        <w:tc>
          <w:tcPr>
            <w:tcW w:w="2976"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推进经济社会健康协调发展，提升全区经济、装备动员能力。</w:t>
            </w: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做好经济、装备动员工作</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100.00%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80.00%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50.00%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cantSplit/>
          <w:trHeight w:val="227" w:hRule="atLeast"/>
          <w:jc w:val="center"/>
        </w:trPr>
        <w:tc>
          <w:tcPr>
            <w:tcW w:w="2028"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155"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341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下达年度国民经济和社会发展计划</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100.00%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80.00%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50.00%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cantSplit/>
          <w:trHeight w:val="227" w:hRule="atLeast"/>
          <w:jc w:val="center"/>
        </w:trPr>
        <w:tc>
          <w:tcPr>
            <w:tcW w:w="2028"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155"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341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认真做好主要经济指标统计汇总工作</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100.00%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80.00%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50.00%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227" w:hRule="atLeast"/>
          <w:jc w:val="center"/>
        </w:trPr>
        <w:tc>
          <w:tcPr>
            <w:tcW w:w="2028"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b/>
                <w:bCs w:val="0"/>
                <w:sz w:val="24"/>
                <w:szCs w:val="24"/>
              </w:rPr>
            </w:pPr>
            <w:r>
              <w:rPr>
                <w:rFonts w:hint="eastAsia" w:ascii="仿宋_GB2312" w:eastAsia="仿宋_GB2312"/>
                <w:b/>
                <w:bCs w:val="0"/>
                <w:sz w:val="24"/>
                <w:szCs w:val="24"/>
              </w:rPr>
              <w:t>四、促进区域经济发展</w:t>
            </w:r>
          </w:p>
        </w:tc>
        <w:tc>
          <w:tcPr>
            <w:tcW w:w="1155"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p>
        </w:tc>
        <w:tc>
          <w:tcPr>
            <w:tcW w:w="3410"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研究提出区域经济协调发展、加快城镇化发展的政策建议；负责区域经济合作统筹协调。</w:t>
            </w:r>
          </w:p>
        </w:tc>
        <w:tc>
          <w:tcPr>
            <w:tcW w:w="2976"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促进我区区域经济发展京津冀协同发展</w:t>
            </w: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cantSplit/>
          <w:trHeight w:val="227" w:hRule="atLeast"/>
          <w:jc w:val="center"/>
        </w:trPr>
        <w:tc>
          <w:tcPr>
            <w:tcW w:w="2028"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b/>
                <w:bCs w:val="0"/>
                <w:sz w:val="24"/>
                <w:szCs w:val="24"/>
              </w:rPr>
            </w:pPr>
            <w:r>
              <w:rPr>
                <w:rFonts w:hint="eastAsia" w:ascii="仿宋_GB2312" w:eastAsia="仿宋_GB2312"/>
                <w:b/>
                <w:bCs w:val="0"/>
                <w:sz w:val="24"/>
                <w:szCs w:val="24"/>
              </w:rPr>
              <w:t>　　1、组织推进农业资源区划</w:t>
            </w:r>
          </w:p>
        </w:tc>
        <w:tc>
          <w:tcPr>
            <w:tcW w:w="1155"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p>
        </w:tc>
        <w:tc>
          <w:tcPr>
            <w:tcW w:w="3410"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建立农业资源监测制度；负责农业资源可持续发展和高效利用实验示范工作。</w:t>
            </w:r>
          </w:p>
        </w:tc>
        <w:tc>
          <w:tcPr>
            <w:tcW w:w="2976"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掌握我县农业资源现状及动态变化。</w:t>
            </w: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专题研究报告数量</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100.00%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80.00%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50.00%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cantSplit/>
          <w:trHeight w:val="227" w:hRule="atLeast"/>
          <w:jc w:val="center"/>
        </w:trPr>
        <w:tc>
          <w:tcPr>
            <w:tcW w:w="2028"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155"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341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组织调研次数</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100.00%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80.00%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50.00%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cantSplit/>
          <w:trHeight w:val="227" w:hRule="atLeast"/>
          <w:jc w:val="center"/>
        </w:trPr>
        <w:tc>
          <w:tcPr>
            <w:tcW w:w="2028"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155"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341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专题研究报告质量</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100.00%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80.00%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50.00%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cantSplit/>
          <w:trHeight w:val="227" w:hRule="atLeast"/>
          <w:jc w:val="center"/>
        </w:trPr>
        <w:tc>
          <w:tcPr>
            <w:tcW w:w="2028"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155"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341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按时完成项目入统工作</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100.00%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80.00%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50.00%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cantSplit/>
          <w:trHeight w:val="227" w:hRule="atLeast"/>
          <w:jc w:val="center"/>
        </w:trPr>
        <w:tc>
          <w:tcPr>
            <w:tcW w:w="2028"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155"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341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完成引进域外资金计划</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100.00%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80.00%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50.00%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cantSplit/>
          <w:trHeight w:val="227" w:hRule="atLeast"/>
          <w:jc w:val="center"/>
        </w:trPr>
        <w:tc>
          <w:tcPr>
            <w:tcW w:w="2028"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155"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341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完成引进京津资金计划</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100.00%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80.00%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50.00%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227" w:hRule="atLeast"/>
          <w:jc w:val="center"/>
        </w:trPr>
        <w:tc>
          <w:tcPr>
            <w:tcW w:w="2028"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b/>
                <w:bCs w:val="0"/>
                <w:sz w:val="24"/>
                <w:szCs w:val="24"/>
              </w:rPr>
            </w:pPr>
            <w:r>
              <w:rPr>
                <w:rFonts w:hint="eastAsia" w:ascii="仿宋_GB2312" w:eastAsia="仿宋_GB2312"/>
                <w:b/>
                <w:bCs w:val="0"/>
                <w:sz w:val="24"/>
                <w:szCs w:val="24"/>
              </w:rPr>
              <w:t>五、推进产业结构调整</w:t>
            </w:r>
          </w:p>
        </w:tc>
        <w:tc>
          <w:tcPr>
            <w:tcW w:w="1155"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p>
        </w:tc>
        <w:tc>
          <w:tcPr>
            <w:tcW w:w="3410"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协调第一、二、三产业发展，推进经济结构战略性调整。</w:t>
            </w:r>
          </w:p>
        </w:tc>
        <w:tc>
          <w:tcPr>
            <w:tcW w:w="2976"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有效引导行业健康发展，提升我区产业和行业竞争力。</w:t>
            </w: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cantSplit/>
          <w:trHeight w:val="227" w:hRule="atLeast"/>
          <w:jc w:val="center"/>
        </w:trPr>
        <w:tc>
          <w:tcPr>
            <w:tcW w:w="2028"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b/>
                <w:bCs w:val="0"/>
                <w:sz w:val="24"/>
                <w:szCs w:val="24"/>
              </w:rPr>
            </w:pPr>
            <w:r>
              <w:rPr>
                <w:rFonts w:hint="eastAsia" w:ascii="仿宋_GB2312" w:eastAsia="仿宋_GB2312"/>
                <w:b/>
                <w:bCs w:val="0"/>
                <w:sz w:val="24"/>
                <w:szCs w:val="24"/>
              </w:rPr>
              <w:t>　　1、促进节能降耗、资源综合利用</w:t>
            </w:r>
          </w:p>
        </w:tc>
        <w:tc>
          <w:tcPr>
            <w:tcW w:w="1155"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p>
        </w:tc>
        <w:tc>
          <w:tcPr>
            <w:tcW w:w="3410"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推进可持续发展战略，组织发展循环经济、全社会资源节约和综合利用；开展节能监察、监测，加强节能宣传培训</w:t>
            </w:r>
          </w:p>
        </w:tc>
        <w:tc>
          <w:tcPr>
            <w:tcW w:w="2976"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积极助推节能减排和大气污染防治；确保实现年度单位GDP能耗下降率</w:t>
            </w: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协助市节能中心做好用能单位节能监察</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100.00%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80.00%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50.00%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cantSplit/>
          <w:trHeight w:val="227" w:hRule="atLeast"/>
          <w:jc w:val="center"/>
        </w:trPr>
        <w:tc>
          <w:tcPr>
            <w:tcW w:w="2028"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155"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341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做好节能宣传工作</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100.00%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80.00%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50.00%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cantSplit/>
          <w:trHeight w:val="227" w:hRule="atLeast"/>
          <w:jc w:val="center"/>
        </w:trPr>
        <w:tc>
          <w:tcPr>
            <w:tcW w:w="2028"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155"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341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做好固定资产投资节能审批工作</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100.00%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80.00%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50.00%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227" w:hRule="atLeast"/>
          <w:jc w:val="center"/>
        </w:trPr>
        <w:tc>
          <w:tcPr>
            <w:tcW w:w="2028"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b/>
                <w:bCs w:val="0"/>
                <w:sz w:val="24"/>
                <w:szCs w:val="24"/>
              </w:rPr>
            </w:pPr>
            <w:r>
              <w:rPr>
                <w:rFonts w:hint="eastAsia" w:ascii="仿宋_GB2312" w:eastAsia="仿宋_GB2312"/>
                <w:b/>
                <w:bCs w:val="0"/>
                <w:sz w:val="24"/>
                <w:szCs w:val="24"/>
              </w:rPr>
              <w:t>六、组织全区改革开放和经济技术合作</w:t>
            </w:r>
          </w:p>
        </w:tc>
        <w:tc>
          <w:tcPr>
            <w:tcW w:w="1155"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p>
        </w:tc>
        <w:tc>
          <w:tcPr>
            <w:tcW w:w="3410"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研究全区经济体制改革，组织指导和综合协调推进经济体制改革。</w:t>
            </w:r>
          </w:p>
        </w:tc>
        <w:tc>
          <w:tcPr>
            <w:tcW w:w="2976"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研究经济体制改革的重大问题，组织拟订综合性经济体制改革方案，协调有关专项改革方案。</w:t>
            </w: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cantSplit/>
          <w:trHeight w:val="227" w:hRule="atLeast"/>
          <w:jc w:val="center"/>
        </w:trPr>
        <w:tc>
          <w:tcPr>
            <w:tcW w:w="2028"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b/>
                <w:bCs w:val="0"/>
                <w:sz w:val="24"/>
                <w:szCs w:val="24"/>
              </w:rPr>
            </w:pPr>
            <w:r>
              <w:rPr>
                <w:rFonts w:hint="eastAsia" w:ascii="仿宋_GB2312" w:eastAsia="仿宋_GB2312"/>
                <w:b/>
                <w:bCs w:val="0"/>
                <w:sz w:val="24"/>
                <w:szCs w:val="24"/>
              </w:rPr>
              <w:t>　　1、推进全区经济体制改革工作</w:t>
            </w:r>
          </w:p>
        </w:tc>
        <w:tc>
          <w:tcPr>
            <w:tcW w:w="1155"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p>
        </w:tc>
        <w:tc>
          <w:tcPr>
            <w:tcW w:w="3410"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研究分析产业发展的情况，组织实施国家产业政策，监督产业政策落实情况；组织实施全区产业结构调整工作；宏观指导和协调促进中小企业、非国有经济发展的重大问题；提出产业发展方向及优化产业结构等有关政策建议；提出全区支持和鼓励发展的重点产业、企业、产品名单。</w:t>
            </w:r>
          </w:p>
        </w:tc>
        <w:tc>
          <w:tcPr>
            <w:tcW w:w="2976"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推进经济体制改革，完善社会主义市场经济体制。</w:t>
            </w: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完成经济体制改革工作任务</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100.00%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80.00%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50.00%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cantSplit/>
          <w:trHeight w:val="227" w:hRule="atLeast"/>
          <w:jc w:val="center"/>
        </w:trPr>
        <w:tc>
          <w:tcPr>
            <w:tcW w:w="2028"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155"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341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做好经济体制改革工作台账管理工作</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100.00%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80.00%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50.00%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cantSplit/>
          <w:trHeight w:val="227" w:hRule="atLeast"/>
          <w:jc w:val="center"/>
        </w:trPr>
        <w:tc>
          <w:tcPr>
            <w:tcW w:w="2028"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155"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341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按时总结经济体制改革工作开展情况</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100.00%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80.00%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50.00%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227" w:hRule="atLeast"/>
          <w:jc w:val="center"/>
        </w:trPr>
        <w:tc>
          <w:tcPr>
            <w:tcW w:w="2028"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b/>
                <w:bCs w:val="0"/>
                <w:sz w:val="24"/>
                <w:szCs w:val="24"/>
              </w:rPr>
            </w:pPr>
            <w:r>
              <w:rPr>
                <w:rFonts w:hint="eastAsia" w:ascii="仿宋_GB2312" w:eastAsia="仿宋_GB2312"/>
                <w:b/>
                <w:bCs w:val="0"/>
                <w:sz w:val="24"/>
                <w:szCs w:val="24"/>
              </w:rPr>
              <w:t>七、固定资产投资调控与管理</w:t>
            </w:r>
          </w:p>
        </w:tc>
        <w:tc>
          <w:tcPr>
            <w:tcW w:w="1155"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p>
        </w:tc>
        <w:tc>
          <w:tcPr>
            <w:tcW w:w="3410"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提出全区固定资产投资总规模；编制和实施固定资产投资计划；负责区级管理的基本建设项目、技改项目的审批、核准、备案；组织开展重点建设项目稽察监管工作。</w:t>
            </w:r>
          </w:p>
        </w:tc>
        <w:tc>
          <w:tcPr>
            <w:tcW w:w="2976"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提升公共设施水平，提高公共服务能力，促进经济和社会发展。</w:t>
            </w: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cantSplit/>
          <w:trHeight w:val="227" w:hRule="atLeast"/>
          <w:jc w:val="center"/>
        </w:trPr>
        <w:tc>
          <w:tcPr>
            <w:tcW w:w="2028"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b/>
                <w:bCs w:val="0"/>
                <w:sz w:val="24"/>
                <w:szCs w:val="24"/>
              </w:rPr>
            </w:pPr>
            <w:r>
              <w:rPr>
                <w:rFonts w:hint="eastAsia" w:ascii="仿宋_GB2312" w:eastAsia="仿宋_GB2312"/>
                <w:b/>
                <w:bCs w:val="0"/>
                <w:sz w:val="24"/>
                <w:szCs w:val="24"/>
              </w:rPr>
              <w:t>　　1、预算内基本建设投资项目管理</w:t>
            </w:r>
          </w:p>
        </w:tc>
        <w:tc>
          <w:tcPr>
            <w:tcW w:w="1155"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p>
        </w:tc>
        <w:tc>
          <w:tcPr>
            <w:tcW w:w="3410"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落实区委区政府决策部署，依据发展规划和年度计划，编制和下达全区固定资产投资计划；负责区级管理的项目审批、核准、备案。</w:t>
            </w:r>
          </w:p>
        </w:tc>
        <w:tc>
          <w:tcPr>
            <w:tcW w:w="2976"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编制和下达全区固定资产投资计划；及时转发中央、省资金投资计划；及时下达区本级预算内基建项目投资计划，提高政务设施服务保障能力。</w:t>
            </w: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编制和下达全区固定资产投资计划</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100.00%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80.00%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50.00%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cantSplit/>
          <w:trHeight w:val="227" w:hRule="atLeast"/>
          <w:jc w:val="center"/>
        </w:trPr>
        <w:tc>
          <w:tcPr>
            <w:tcW w:w="2028"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155"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341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按时完成项目审批、核准、备案</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100.00%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80.00%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50.00%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cantSplit/>
          <w:trHeight w:val="227" w:hRule="atLeast"/>
          <w:jc w:val="center"/>
        </w:trPr>
        <w:tc>
          <w:tcPr>
            <w:tcW w:w="2028"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155"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341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及时下达区本级资金投资计划；及时转发中央、省资金投资计划</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100.00%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80.00%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50.00%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227" w:hRule="atLeast"/>
          <w:jc w:val="center"/>
        </w:trPr>
        <w:tc>
          <w:tcPr>
            <w:tcW w:w="2028"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b/>
                <w:bCs w:val="0"/>
                <w:sz w:val="24"/>
                <w:szCs w:val="24"/>
              </w:rPr>
            </w:pPr>
            <w:r>
              <w:rPr>
                <w:rFonts w:hint="eastAsia" w:ascii="仿宋_GB2312" w:eastAsia="仿宋_GB2312"/>
                <w:b/>
                <w:bCs w:val="0"/>
                <w:sz w:val="24"/>
                <w:szCs w:val="24"/>
              </w:rPr>
              <w:t>八、行政运行事务</w:t>
            </w:r>
          </w:p>
        </w:tc>
        <w:tc>
          <w:tcPr>
            <w:tcW w:w="1155"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5.00</w:t>
            </w:r>
          </w:p>
        </w:tc>
        <w:tc>
          <w:tcPr>
            <w:tcW w:w="3410"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保障发展改革日常业务.开展和机关事务的基本运转。</w:t>
            </w:r>
          </w:p>
        </w:tc>
        <w:tc>
          <w:tcPr>
            <w:tcW w:w="2976"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保障发展改革日常业务开展和机关事务的基本运转。</w:t>
            </w: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cantSplit/>
          <w:trHeight w:val="227" w:hRule="atLeast"/>
          <w:jc w:val="center"/>
        </w:trPr>
        <w:tc>
          <w:tcPr>
            <w:tcW w:w="2028"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b/>
                <w:bCs w:val="0"/>
                <w:sz w:val="24"/>
                <w:szCs w:val="24"/>
              </w:rPr>
            </w:pPr>
            <w:r>
              <w:rPr>
                <w:rFonts w:hint="eastAsia" w:ascii="仿宋_GB2312" w:eastAsia="仿宋_GB2312"/>
                <w:b/>
                <w:bCs w:val="0"/>
                <w:sz w:val="24"/>
                <w:szCs w:val="24"/>
              </w:rPr>
              <w:t>　　1、保障发展改革工作正常开展</w:t>
            </w:r>
          </w:p>
        </w:tc>
        <w:tc>
          <w:tcPr>
            <w:tcW w:w="1155"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5.00</w:t>
            </w:r>
          </w:p>
        </w:tc>
        <w:tc>
          <w:tcPr>
            <w:tcW w:w="3410"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发展改革工作运转保障，包括会议组织、政务督办、档案管理、信访接待、政务信息、行政复议、对外宣传、干部培训、调研活动等行政事务；开展党风廉政建设、政府信息公开、行政许可事项受理，信息化建设、法治宣传等。</w:t>
            </w:r>
          </w:p>
        </w:tc>
        <w:tc>
          <w:tcPr>
            <w:tcW w:w="2976"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按时完成会议组织、政务督办、档案管理、信访接待、政务信息、行政复议、对外宣传、干部培训、调研活动等行政事务；开展党风廉政建设、政府信息公开、行政许可事项受理，信息化建设、法治宣传等工作任务。</w:t>
            </w: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各级信息上传下达的及时性</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100.00%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80.00%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50.00%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cantSplit/>
          <w:trHeight w:val="227" w:hRule="atLeast"/>
          <w:jc w:val="center"/>
        </w:trPr>
        <w:tc>
          <w:tcPr>
            <w:tcW w:w="2028"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155"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341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法制宣传工作开展情况</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100.00%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80.00%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50.00%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cantSplit/>
          <w:trHeight w:val="227" w:hRule="atLeast"/>
          <w:jc w:val="center"/>
        </w:trPr>
        <w:tc>
          <w:tcPr>
            <w:tcW w:w="2028"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155"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341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政府信息公开情况</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100.00%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80.00%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50.00%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227" w:hRule="atLeast"/>
          <w:jc w:val="center"/>
        </w:trPr>
        <w:tc>
          <w:tcPr>
            <w:tcW w:w="2028"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b/>
                <w:bCs w:val="0"/>
                <w:sz w:val="24"/>
                <w:szCs w:val="24"/>
              </w:rPr>
            </w:pPr>
            <w:r>
              <w:rPr>
                <w:rFonts w:hint="eastAsia" w:ascii="仿宋_GB2312" w:eastAsia="仿宋_GB2312"/>
                <w:b/>
                <w:bCs w:val="0"/>
                <w:sz w:val="24"/>
                <w:szCs w:val="24"/>
              </w:rPr>
              <w:t>九、项目咨询评估评审</w:t>
            </w:r>
          </w:p>
        </w:tc>
        <w:tc>
          <w:tcPr>
            <w:tcW w:w="1155"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10.00</w:t>
            </w:r>
          </w:p>
        </w:tc>
        <w:tc>
          <w:tcPr>
            <w:tcW w:w="3410"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做好我区权限内审批项目咨询评估（评审）工作。</w:t>
            </w:r>
          </w:p>
        </w:tc>
        <w:tc>
          <w:tcPr>
            <w:tcW w:w="2976"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做好委托投资咨询评估工作。</w:t>
            </w: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cantSplit/>
          <w:trHeight w:val="227" w:hRule="atLeast"/>
          <w:jc w:val="center"/>
        </w:trPr>
        <w:tc>
          <w:tcPr>
            <w:tcW w:w="2028"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b/>
                <w:bCs w:val="0"/>
                <w:sz w:val="24"/>
                <w:szCs w:val="24"/>
              </w:rPr>
            </w:pPr>
            <w:r>
              <w:rPr>
                <w:rFonts w:hint="eastAsia" w:ascii="仿宋_GB2312" w:eastAsia="仿宋_GB2312"/>
                <w:b/>
                <w:bCs w:val="0"/>
                <w:sz w:val="24"/>
                <w:szCs w:val="24"/>
              </w:rPr>
              <w:t>　　1、项目咨询评估评审</w:t>
            </w:r>
          </w:p>
        </w:tc>
        <w:tc>
          <w:tcPr>
            <w:tcW w:w="1155"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10.00</w:t>
            </w:r>
          </w:p>
        </w:tc>
        <w:tc>
          <w:tcPr>
            <w:tcW w:w="3410"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具体咨询（评估）事项如下：政府投资可行性研究报告（重大项目建议书）、初步设计（概算）；发改部门批复的需要评审的项目节能评估文件；企业投资项目的项目申请报告可根据需要委托评估；省明确要求发改部门组织评审的项目；需要委托评估的其他事项（如社会稳定风险评估等）。</w:t>
            </w:r>
          </w:p>
        </w:tc>
        <w:tc>
          <w:tcPr>
            <w:tcW w:w="2976"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按时完成咨询（评估）事项如下：政府投资可行性研究报告（重大项目建议书）、初步设计（概算）；发改部门批复的需要评审的项目节能评估文件；企业投资项目的项目申请报告可根据需要委托评估；省明确要求发改部门组织评审的项目；需要委托评估的其他事项（如社会稳定风险评估等）。</w:t>
            </w: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认真审核项目材料</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100.00%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80.00%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50.00%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cantSplit/>
          <w:trHeight w:val="227" w:hRule="atLeast"/>
          <w:jc w:val="center"/>
        </w:trPr>
        <w:tc>
          <w:tcPr>
            <w:tcW w:w="2028"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155"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341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及时委托具有相应资质的工程咨询机构进行评估</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100.00%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80.00%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50.00%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cantSplit/>
          <w:trHeight w:val="227" w:hRule="atLeast"/>
          <w:jc w:val="center"/>
        </w:trPr>
        <w:tc>
          <w:tcPr>
            <w:tcW w:w="2028"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155"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341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仿宋_GB2312" w:eastAsia="仿宋_GB2312"/>
                <w:sz w:val="24"/>
                <w:szCs w:val="24"/>
              </w:rPr>
            </w:pPr>
            <w:r>
              <w:rPr>
                <w:rFonts w:hint="eastAsia" w:ascii="仿宋_GB2312" w:eastAsia="仿宋_GB2312"/>
                <w:sz w:val="24"/>
                <w:szCs w:val="24"/>
              </w:rPr>
              <w:t>按时完成咨询评估评审事项</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100.00%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80.00%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仿宋_GB2312" w:eastAsia="仿宋_GB2312"/>
                <w:sz w:val="24"/>
                <w:szCs w:val="24"/>
              </w:rPr>
            </w:pPr>
            <w:r>
              <w:rPr>
                <w:rFonts w:hint="eastAsia" w:ascii="仿宋_GB2312" w:eastAsia="仿宋_GB2312"/>
                <w:sz w:val="24"/>
                <w:szCs w:val="24"/>
              </w:rPr>
              <w:t>50.00%</w:t>
            </w:r>
          </w:p>
        </w:tc>
      </w:tr>
    </w:tbl>
    <w:p>
      <w:pPr>
        <w:spacing w:line="570" w:lineRule="exact"/>
        <w:outlineLvl w:val="0"/>
        <w:rPr>
          <w:rFonts w:ascii="黑体" w:eastAsia="黑体" w:cs="宋体"/>
          <w:b/>
          <w:bCs/>
          <w:color w:val="000000"/>
          <w:kern w:val="0"/>
          <w:sz w:val="32"/>
          <w:szCs w:val="32"/>
        </w:rPr>
      </w:pPr>
    </w:p>
    <w:p>
      <w:pPr>
        <w:spacing w:line="570" w:lineRule="exact"/>
        <w:outlineLvl w:val="0"/>
        <w:rPr>
          <w:rFonts w:ascii="仿宋_GB2312" w:eastAsia="仿宋_GB2312" w:cs="宋体"/>
          <w:color w:val="000000"/>
          <w:kern w:val="0"/>
          <w:sz w:val="32"/>
          <w:szCs w:val="32"/>
        </w:rPr>
      </w:pPr>
      <w:r>
        <w:rPr>
          <w:rFonts w:ascii="黑体" w:eastAsia="黑体" w:cs="宋体"/>
          <w:b/>
          <w:bCs/>
          <w:color w:val="000000"/>
          <w:kern w:val="0"/>
          <w:sz w:val="32"/>
          <w:szCs w:val="32"/>
        </w:rPr>
        <w:br w:type="page"/>
      </w: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w:t>
      </w:r>
      <w:r>
        <w:rPr>
          <w:rFonts w:ascii="仿宋_GB2312" w:eastAsia="仿宋_GB2312" w:cs="宋体"/>
          <w:color w:val="000000"/>
          <w:kern w:val="0"/>
          <w:sz w:val="32"/>
          <w:szCs w:val="32"/>
        </w:rPr>
        <w:t>未</w:t>
      </w:r>
      <w:r>
        <w:rPr>
          <w:rFonts w:hint="eastAsia" w:ascii="仿宋_GB2312" w:eastAsia="仿宋_GB2312" w:cs="宋体"/>
          <w:color w:val="000000"/>
          <w:kern w:val="0"/>
          <w:sz w:val="32"/>
          <w:szCs w:val="32"/>
        </w:rPr>
        <w:t>安排政府采购预算。具体内容见下表。</w:t>
      </w:r>
    </w:p>
    <w:p>
      <w:pPr>
        <w:spacing w:line="570" w:lineRule="exact"/>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137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013"/>
        <w:gridCol w:w="831"/>
        <w:gridCol w:w="1324"/>
        <w:gridCol w:w="831"/>
        <w:gridCol w:w="831"/>
        <w:gridCol w:w="867"/>
        <w:gridCol w:w="850"/>
        <w:gridCol w:w="850"/>
        <w:gridCol w:w="850"/>
        <w:gridCol w:w="773"/>
        <w:gridCol w:w="834"/>
        <w:gridCol w:w="845"/>
        <w:gridCol w:w="7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65"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left"/>
              <w:rPr>
                <w:rFonts w:ascii="仿宋_GB2312" w:eastAsia="仿宋_GB2312" w:cs="Times New Roman"/>
                <w:sz w:val="28"/>
                <w:szCs w:val="28"/>
              </w:rPr>
            </w:pPr>
            <w:r>
              <w:rPr>
                <w:rFonts w:hint="eastAsia" w:ascii="仿宋_GB2312" w:eastAsia="仿宋_GB2312" w:cs="Times New Roman"/>
                <w:sz w:val="28"/>
                <w:szCs w:val="28"/>
                <w:lang w:val="en-US" w:eastAsia="zh-CN"/>
              </w:rPr>
              <w:t>221-</w:t>
            </w:r>
            <w:r>
              <w:rPr>
                <w:rFonts w:hint="eastAsia" w:ascii="仿宋_GB2312" w:eastAsia="仿宋_GB2312" w:cs="Times New Roman"/>
                <w:sz w:val="28"/>
                <w:szCs w:val="28"/>
              </w:rPr>
              <w:t>廊坊市广阳区</w:t>
            </w:r>
            <w:r>
              <w:rPr>
                <w:rFonts w:ascii="仿宋_GB2312" w:eastAsia="仿宋_GB2312" w:cs="Times New Roman"/>
                <w:sz w:val="28"/>
                <w:szCs w:val="28"/>
              </w:rPr>
              <w:t>发改局</w:t>
            </w:r>
          </w:p>
        </w:tc>
        <w:tc>
          <w:tcPr>
            <w:tcW w:w="5792"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81" w:type="dxa"/>
            <w:gridSpan w:val="2"/>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831"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132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831"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831"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867"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5792" w:type="dxa"/>
            <w:gridSpan w:val="7"/>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68"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1013"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831" w:type="dxa"/>
            <w:vMerge w:val="continue"/>
            <w:shd w:val="clear" w:color="auto" w:fill="auto"/>
            <w:vAlign w:val="center"/>
          </w:tcPr>
          <w:p/>
        </w:tc>
        <w:tc>
          <w:tcPr>
            <w:tcW w:w="1324" w:type="dxa"/>
            <w:vMerge w:val="continue"/>
            <w:shd w:val="clear" w:color="auto" w:fill="auto"/>
            <w:vAlign w:val="center"/>
          </w:tcPr>
          <w:p/>
        </w:tc>
        <w:tc>
          <w:tcPr>
            <w:tcW w:w="831" w:type="dxa"/>
            <w:vMerge w:val="continue"/>
            <w:shd w:val="clear" w:color="auto" w:fill="auto"/>
            <w:vAlign w:val="center"/>
          </w:tcPr>
          <w:p/>
        </w:tc>
        <w:tc>
          <w:tcPr>
            <w:tcW w:w="831" w:type="dxa"/>
            <w:vMerge w:val="continue"/>
            <w:shd w:val="clear" w:color="auto" w:fill="auto"/>
            <w:vAlign w:val="center"/>
          </w:tcPr>
          <w:p/>
        </w:tc>
        <w:tc>
          <w:tcPr>
            <w:tcW w:w="867" w:type="dxa"/>
            <w:vMerge w:val="continue"/>
            <w:shd w:val="clear" w:color="auto" w:fill="auto"/>
            <w:vAlign w:val="center"/>
          </w:tcPr>
          <w:p/>
        </w:tc>
        <w:tc>
          <w:tcPr>
            <w:tcW w:w="850"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4152" w:type="dxa"/>
            <w:gridSpan w:val="5"/>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790"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68" w:type="dxa"/>
            <w:vMerge w:val="continue"/>
            <w:shd w:val="clear" w:color="auto" w:fill="auto"/>
            <w:vAlign w:val="center"/>
          </w:tcPr>
          <w:p/>
        </w:tc>
        <w:tc>
          <w:tcPr>
            <w:tcW w:w="1013" w:type="dxa"/>
            <w:vMerge w:val="continue"/>
            <w:shd w:val="clear" w:color="auto" w:fill="auto"/>
            <w:vAlign w:val="center"/>
          </w:tcPr>
          <w:p/>
        </w:tc>
        <w:tc>
          <w:tcPr>
            <w:tcW w:w="831" w:type="dxa"/>
            <w:vMerge w:val="continue"/>
            <w:shd w:val="clear" w:color="auto" w:fill="auto"/>
            <w:vAlign w:val="center"/>
          </w:tcPr>
          <w:p/>
        </w:tc>
        <w:tc>
          <w:tcPr>
            <w:tcW w:w="1324" w:type="dxa"/>
            <w:vMerge w:val="continue"/>
            <w:shd w:val="clear" w:color="auto" w:fill="auto"/>
            <w:vAlign w:val="center"/>
          </w:tcPr>
          <w:p/>
        </w:tc>
        <w:tc>
          <w:tcPr>
            <w:tcW w:w="831" w:type="dxa"/>
            <w:vMerge w:val="continue"/>
            <w:shd w:val="clear" w:color="auto" w:fill="auto"/>
            <w:vAlign w:val="center"/>
          </w:tcPr>
          <w:p/>
        </w:tc>
        <w:tc>
          <w:tcPr>
            <w:tcW w:w="831" w:type="dxa"/>
            <w:vMerge w:val="continue"/>
            <w:shd w:val="clear" w:color="auto" w:fill="auto"/>
            <w:vAlign w:val="center"/>
          </w:tcPr>
          <w:p/>
        </w:tc>
        <w:tc>
          <w:tcPr>
            <w:tcW w:w="867" w:type="dxa"/>
            <w:vMerge w:val="continue"/>
            <w:shd w:val="clear" w:color="auto" w:fill="auto"/>
            <w:vAlign w:val="center"/>
          </w:tcPr>
          <w:p/>
        </w:tc>
        <w:tc>
          <w:tcPr>
            <w:tcW w:w="850" w:type="dxa"/>
            <w:vMerge w:val="continue"/>
            <w:shd w:val="clear" w:color="auto" w:fill="auto"/>
            <w:vAlign w:val="center"/>
          </w:tcPr>
          <w:p/>
        </w:tc>
        <w:tc>
          <w:tcPr>
            <w:tcW w:w="850"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850"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773"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834"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845"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790"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68"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1013" w:type="dxa"/>
            <w:shd w:val="clear" w:color="auto" w:fill="auto"/>
            <w:vAlign w:val="center"/>
          </w:tcPr>
          <w:p>
            <w:pPr>
              <w:spacing w:line="570" w:lineRule="exact"/>
              <w:jc w:val="center"/>
              <w:rPr>
                <w:rFonts w:ascii="仿宋_GB2312" w:eastAsia="仿宋_GB2312" w:cs="Times New Roman"/>
                <w:b/>
                <w:sz w:val="28"/>
                <w:szCs w:val="28"/>
              </w:rPr>
            </w:pPr>
          </w:p>
        </w:tc>
        <w:tc>
          <w:tcPr>
            <w:tcW w:w="831" w:type="dxa"/>
            <w:shd w:val="clear" w:color="auto" w:fill="auto"/>
            <w:vAlign w:val="center"/>
          </w:tcPr>
          <w:p>
            <w:pPr>
              <w:spacing w:line="570" w:lineRule="exact"/>
              <w:jc w:val="center"/>
              <w:rPr>
                <w:rFonts w:ascii="仿宋_GB2312" w:eastAsia="仿宋_GB2312" w:cs="Times New Roman"/>
                <w:b/>
                <w:sz w:val="28"/>
                <w:szCs w:val="28"/>
              </w:rPr>
            </w:pPr>
          </w:p>
        </w:tc>
        <w:tc>
          <w:tcPr>
            <w:tcW w:w="1324" w:type="dxa"/>
            <w:shd w:val="clear" w:color="auto" w:fill="auto"/>
            <w:vAlign w:val="center"/>
          </w:tcPr>
          <w:p>
            <w:pPr>
              <w:spacing w:line="570" w:lineRule="exact"/>
              <w:jc w:val="center"/>
              <w:rPr>
                <w:rFonts w:ascii="仿宋_GB2312" w:eastAsia="仿宋_GB2312" w:cs="Times New Roman"/>
                <w:b/>
                <w:sz w:val="28"/>
                <w:szCs w:val="28"/>
              </w:rPr>
            </w:pPr>
          </w:p>
        </w:tc>
        <w:tc>
          <w:tcPr>
            <w:tcW w:w="831" w:type="dxa"/>
            <w:shd w:val="clear" w:color="auto" w:fill="auto"/>
            <w:vAlign w:val="center"/>
          </w:tcPr>
          <w:p>
            <w:pPr>
              <w:spacing w:line="570" w:lineRule="exact"/>
              <w:jc w:val="center"/>
              <w:rPr>
                <w:rFonts w:ascii="仿宋_GB2312" w:eastAsia="仿宋_GB2312" w:cs="Times New Roman"/>
                <w:b/>
                <w:sz w:val="28"/>
                <w:szCs w:val="28"/>
              </w:rPr>
            </w:pPr>
          </w:p>
        </w:tc>
        <w:tc>
          <w:tcPr>
            <w:tcW w:w="831" w:type="dxa"/>
            <w:shd w:val="clear" w:color="auto" w:fill="auto"/>
            <w:vAlign w:val="center"/>
          </w:tcPr>
          <w:p>
            <w:pPr>
              <w:spacing w:line="570" w:lineRule="exact"/>
              <w:jc w:val="center"/>
              <w:rPr>
                <w:rFonts w:ascii="仿宋_GB2312" w:eastAsia="仿宋_GB2312" w:cs="Times New Roman"/>
                <w:b/>
                <w:sz w:val="28"/>
                <w:szCs w:val="28"/>
              </w:rPr>
            </w:pPr>
          </w:p>
        </w:tc>
        <w:tc>
          <w:tcPr>
            <w:tcW w:w="867" w:type="dxa"/>
            <w:shd w:val="clear" w:color="auto" w:fill="auto"/>
            <w:vAlign w:val="center"/>
          </w:tcPr>
          <w:p>
            <w:pPr>
              <w:spacing w:line="570" w:lineRule="exact"/>
              <w:jc w:val="center"/>
              <w:rPr>
                <w:rFonts w:ascii="仿宋_GB2312" w:eastAsia="仿宋_GB2312" w:cs="Times New Roman"/>
                <w:b/>
                <w:sz w:val="28"/>
                <w:szCs w:val="28"/>
              </w:rPr>
            </w:pPr>
          </w:p>
        </w:tc>
        <w:tc>
          <w:tcPr>
            <w:tcW w:w="850" w:type="dxa"/>
            <w:shd w:val="clear" w:color="auto" w:fill="auto"/>
            <w:vAlign w:val="center"/>
          </w:tcPr>
          <w:p>
            <w:pPr>
              <w:spacing w:line="570" w:lineRule="exact"/>
              <w:jc w:val="center"/>
              <w:rPr>
                <w:rFonts w:ascii="仿宋_GB2312" w:eastAsia="仿宋_GB2312" w:cs="Times New Roman"/>
                <w:b/>
                <w:sz w:val="28"/>
                <w:szCs w:val="28"/>
              </w:rPr>
            </w:pPr>
          </w:p>
        </w:tc>
        <w:tc>
          <w:tcPr>
            <w:tcW w:w="850" w:type="dxa"/>
            <w:shd w:val="clear" w:color="auto" w:fill="auto"/>
            <w:vAlign w:val="center"/>
          </w:tcPr>
          <w:p>
            <w:pPr>
              <w:spacing w:line="570" w:lineRule="exact"/>
              <w:jc w:val="center"/>
              <w:rPr>
                <w:rFonts w:ascii="仿宋_GB2312" w:eastAsia="仿宋_GB2312" w:cs="Times New Roman"/>
                <w:b/>
                <w:sz w:val="28"/>
                <w:szCs w:val="28"/>
              </w:rPr>
            </w:pPr>
          </w:p>
        </w:tc>
        <w:tc>
          <w:tcPr>
            <w:tcW w:w="850" w:type="dxa"/>
            <w:shd w:val="clear" w:color="auto" w:fill="auto"/>
            <w:vAlign w:val="center"/>
          </w:tcPr>
          <w:p>
            <w:pPr>
              <w:spacing w:line="570" w:lineRule="exact"/>
              <w:jc w:val="center"/>
              <w:rPr>
                <w:rFonts w:ascii="仿宋_GB2312" w:eastAsia="仿宋_GB2312" w:cs="Times New Roman"/>
                <w:b/>
                <w:sz w:val="28"/>
                <w:szCs w:val="28"/>
              </w:rPr>
            </w:pPr>
          </w:p>
        </w:tc>
        <w:tc>
          <w:tcPr>
            <w:tcW w:w="773"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45" w:type="dxa"/>
            <w:shd w:val="clear" w:color="auto" w:fill="auto"/>
            <w:vAlign w:val="center"/>
          </w:tcPr>
          <w:p>
            <w:pPr>
              <w:spacing w:line="570" w:lineRule="exact"/>
              <w:jc w:val="center"/>
              <w:rPr>
                <w:rFonts w:ascii="仿宋_GB2312" w:eastAsia="仿宋_GB2312" w:cs="Times New Roman"/>
                <w:b/>
                <w:sz w:val="28"/>
                <w:szCs w:val="28"/>
              </w:rPr>
            </w:pPr>
          </w:p>
        </w:tc>
        <w:tc>
          <w:tcPr>
            <w:tcW w:w="790" w:type="dxa"/>
            <w:shd w:val="clear" w:color="auto" w:fill="auto"/>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68" w:type="dxa"/>
            <w:shd w:val="clear" w:color="auto" w:fill="auto"/>
            <w:vAlign w:val="center"/>
          </w:tcPr>
          <w:p>
            <w:pPr>
              <w:spacing w:line="570" w:lineRule="exact"/>
              <w:jc w:val="center"/>
              <w:rPr>
                <w:rFonts w:ascii="仿宋_GB2312" w:eastAsia="仿宋_GB2312" w:cs="Times New Roman"/>
                <w:b/>
                <w:sz w:val="28"/>
                <w:szCs w:val="28"/>
              </w:rPr>
            </w:pPr>
          </w:p>
        </w:tc>
        <w:tc>
          <w:tcPr>
            <w:tcW w:w="1013" w:type="dxa"/>
            <w:shd w:val="clear" w:color="auto" w:fill="auto"/>
            <w:vAlign w:val="center"/>
          </w:tcPr>
          <w:p>
            <w:pPr>
              <w:spacing w:line="570" w:lineRule="exact"/>
              <w:jc w:val="center"/>
              <w:rPr>
                <w:rFonts w:ascii="仿宋_GB2312" w:eastAsia="仿宋_GB2312" w:cs="Times New Roman"/>
                <w:b/>
                <w:sz w:val="28"/>
                <w:szCs w:val="28"/>
              </w:rPr>
            </w:pPr>
          </w:p>
        </w:tc>
        <w:tc>
          <w:tcPr>
            <w:tcW w:w="831" w:type="dxa"/>
            <w:shd w:val="clear" w:color="auto" w:fill="auto"/>
            <w:vAlign w:val="center"/>
          </w:tcPr>
          <w:p>
            <w:pPr>
              <w:spacing w:line="570" w:lineRule="exact"/>
              <w:jc w:val="center"/>
              <w:rPr>
                <w:rFonts w:ascii="仿宋_GB2312" w:eastAsia="仿宋_GB2312" w:cs="Times New Roman"/>
                <w:b/>
                <w:sz w:val="28"/>
                <w:szCs w:val="28"/>
              </w:rPr>
            </w:pPr>
          </w:p>
        </w:tc>
        <w:tc>
          <w:tcPr>
            <w:tcW w:w="1324" w:type="dxa"/>
            <w:shd w:val="clear" w:color="auto" w:fill="auto"/>
            <w:vAlign w:val="center"/>
          </w:tcPr>
          <w:p>
            <w:pPr>
              <w:spacing w:line="570" w:lineRule="exact"/>
              <w:jc w:val="center"/>
              <w:rPr>
                <w:rFonts w:ascii="仿宋_GB2312" w:eastAsia="仿宋_GB2312" w:cs="Times New Roman"/>
                <w:b/>
                <w:sz w:val="28"/>
                <w:szCs w:val="28"/>
              </w:rPr>
            </w:pPr>
          </w:p>
        </w:tc>
        <w:tc>
          <w:tcPr>
            <w:tcW w:w="831" w:type="dxa"/>
            <w:shd w:val="clear" w:color="auto" w:fill="auto"/>
            <w:vAlign w:val="center"/>
          </w:tcPr>
          <w:p>
            <w:pPr>
              <w:spacing w:line="570" w:lineRule="exact"/>
              <w:jc w:val="center"/>
              <w:rPr>
                <w:rFonts w:ascii="仿宋_GB2312" w:eastAsia="仿宋_GB2312" w:cs="Times New Roman"/>
                <w:b/>
                <w:sz w:val="28"/>
                <w:szCs w:val="28"/>
              </w:rPr>
            </w:pPr>
          </w:p>
        </w:tc>
        <w:tc>
          <w:tcPr>
            <w:tcW w:w="831" w:type="dxa"/>
            <w:shd w:val="clear" w:color="auto" w:fill="auto"/>
            <w:vAlign w:val="center"/>
          </w:tcPr>
          <w:p>
            <w:pPr>
              <w:spacing w:line="570" w:lineRule="exact"/>
              <w:jc w:val="center"/>
              <w:rPr>
                <w:rFonts w:ascii="仿宋_GB2312" w:eastAsia="仿宋_GB2312" w:cs="Times New Roman"/>
                <w:b/>
                <w:sz w:val="28"/>
                <w:szCs w:val="28"/>
              </w:rPr>
            </w:pPr>
          </w:p>
        </w:tc>
        <w:tc>
          <w:tcPr>
            <w:tcW w:w="867" w:type="dxa"/>
            <w:shd w:val="clear" w:color="auto" w:fill="auto"/>
            <w:vAlign w:val="center"/>
          </w:tcPr>
          <w:p>
            <w:pPr>
              <w:spacing w:line="570" w:lineRule="exact"/>
              <w:jc w:val="center"/>
              <w:rPr>
                <w:rFonts w:ascii="仿宋_GB2312" w:eastAsia="仿宋_GB2312" w:cs="Times New Roman"/>
                <w:b/>
                <w:sz w:val="28"/>
                <w:szCs w:val="28"/>
              </w:rPr>
            </w:pPr>
          </w:p>
        </w:tc>
        <w:tc>
          <w:tcPr>
            <w:tcW w:w="850" w:type="dxa"/>
            <w:shd w:val="clear" w:color="auto" w:fill="auto"/>
            <w:vAlign w:val="center"/>
          </w:tcPr>
          <w:p>
            <w:pPr>
              <w:spacing w:line="570" w:lineRule="exact"/>
              <w:jc w:val="center"/>
              <w:rPr>
                <w:rFonts w:ascii="仿宋_GB2312" w:eastAsia="仿宋_GB2312" w:cs="Times New Roman"/>
                <w:b/>
                <w:sz w:val="28"/>
                <w:szCs w:val="28"/>
              </w:rPr>
            </w:pPr>
          </w:p>
        </w:tc>
        <w:tc>
          <w:tcPr>
            <w:tcW w:w="850" w:type="dxa"/>
            <w:shd w:val="clear" w:color="auto" w:fill="auto"/>
            <w:vAlign w:val="center"/>
          </w:tcPr>
          <w:p>
            <w:pPr>
              <w:spacing w:line="570" w:lineRule="exact"/>
              <w:jc w:val="center"/>
              <w:rPr>
                <w:rFonts w:ascii="仿宋_GB2312" w:eastAsia="仿宋_GB2312" w:cs="Times New Roman"/>
                <w:b/>
                <w:sz w:val="28"/>
                <w:szCs w:val="28"/>
              </w:rPr>
            </w:pPr>
          </w:p>
        </w:tc>
        <w:tc>
          <w:tcPr>
            <w:tcW w:w="850" w:type="dxa"/>
            <w:shd w:val="clear" w:color="auto" w:fill="auto"/>
            <w:vAlign w:val="center"/>
          </w:tcPr>
          <w:p>
            <w:pPr>
              <w:spacing w:line="570" w:lineRule="exact"/>
              <w:jc w:val="center"/>
              <w:rPr>
                <w:rFonts w:ascii="仿宋_GB2312" w:eastAsia="仿宋_GB2312" w:cs="Times New Roman"/>
                <w:b/>
                <w:sz w:val="28"/>
                <w:szCs w:val="28"/>
              </w:rPr>
            </w:pPr>
          </w:p>
        </w:tc>
        <w:tc>
          <w:tcPr>
            <w:tcW w:w="773"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45" w:type="dxa"/>
            <w:shd w:val="clear" w:color="auto" w:fill="auto"/>
            <w:vAlign w:val="center"/>
          </w:tcPr>
          <w:p>
            <w:pPr>
              <w:spacing w:line="570" w:lineRule="exact"/>
              <w:jc w:val="center"/>
              <w:rPr>
                <w:rFonts w:ascii="仿宋_GB2312" w:eastAsia="仿宋_GB2312" w:cs="Times New Roman"/>
                <w:b/>
                <w:sz w:val="28"/>
                <w:szCs w:val="28"/>
              </w:rPr>
            </w:pPr>
          </w:p>
        </w:tc>
        <w:tc>
          <w:tcPr>
            <w:tcW w:w="790" w:type="dxa"/>
            <w:shd w:val="clear" w:color="auto" w:fill="auto"/>
            <w:vAlign w:val="center"/>
          </w:tcPr>
          <w:p>
            <w:pPr>
              <w:spacing w:line="570" w:lineRule="exact"/>
              <w:jc w:val="center"/>
              <w:rPr>
                <w:rFonts w:ascii="仿宋_GB2312" w:eastAsia="仿宋_GB2312" w:cs="Times New Roman"/>
                <w:b/>
                <w:sz w:val="28"/>
                <w:szCs w:val="28"/>
              </w:rPr>
            </w:pPr>
          </w:p>
        </w:tc>
      </w:tr>
    </w:tbl>
    <w:p>
      <w:pPr>
        <w:widowControl/>
        <w:spacing w:line="570" w:lineRule="exact"/>
        <w:ind w:left="160" w:hanging="161" w:hangingChars="50"/>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广阳区发展改革局</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上年末固定资产金额为</w:t>
      </w:r>
      <w:r>
        <w:rPr>
          <w:rFonts w:ascii="仿宋_GB2312" w:eastAsia="仿宋_GB2312" w:cs="宋体"/>
          <w:color w:val="000000"/>
          <w:kern w:val="0"/>
          <w:sz w:val="32"/>
          <w:szCs w:val="32"/>
        </w:rPr>
        <w:t>44.19</w:t>
      </w:r>
      <w:r>
        <w:rPr>
          <w:rFonts w:hint="eastAsia" w:ascii="仿宋_GB2312" w:eastAsia="仿宋_GB2312" w:cs="宋体"/>
          <w:color w:val="000000"/>
          <w:kern w:val="0"/>
          <w:sz w:val="32"/>
          <w:szCs w:val="32"/>
        </w:rPr>
        <w:t>万元，我部门本年度</w:t>
      </w:r>
      <w:r>
        <w:rPr>
          <w:rFonts w:ascii="仿宋_GB2312" w:eastAsia="仿宋_GB2312" w:cs="宋体"/>
          <w:color w:val="000000"/>
          <w:kern w:val="0"/>
          <w:sz w:val="32"/>
          <w:szCs w:val="32"/>
        </w:rPr>
        <w:t>无</w:t>
      </w:r>
      <w:r>
        <w:rPr>
          <w:rFonts w:hint="eastAsia" w:ascii="仿宋_GB2312" w:eastAsia="仿宋_GB2312" w:cs="宋体"/>
          <w:color w:val="000000"/>
          <w:kern w:val="0"/>
          <w:sz w:val="32"/>
          <w:szCs w:val="32"/>
        </w:rPr>
        <w:t>拟购置固定资产，详见下表。</w:t>
      </w:r>
    </w:p>
    <w:tbl>
      <w:tblPr>
        <w:tblStyle w:val="4"/>
        <w:tblW w:w="1034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05"/>
        <w:gridCol w:w="2565"/>
        <w:gridCol w:w="3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jc w:val="center"/>
        </w:trPr>
        <w:tc>
          <w:tcPr>
            <w:tcW w:w="10340" w:type="dxa"/>
            <w:gridSpan w:val="3"/>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jc w:val="center"/>
        </w:trPr>
        <w:tc>
          <w:tcPr>
            <w:tcW w:w="6570" w:type="dxa"/>
            <w:gridSpan w:val="2"/>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kern w:val="0"/>
                <w:sz w:val="28"/>
                <w:szCs w:val="28"/>
                <w:lang w:val="en-US" w:eastAsia="zh-CN"/>
              </w:rPr>
              <w:t>221-</w:t>
            </w:r>
            <w:r>
              <w:rPr>
                <w:rFonts w:hint="eastAsia" w:ascii="仿宋_GB2312" w:eastAsia="仿宋_GB2312" w:cs="宋体"/>
                <w:b/>
                <w:bCs/>
                <w:kern w:val="0"/>
                <w:sz w:val="28"/>
                <w:szCs w:val="28"/>
              </w:rPr>
              <w:t>廊坊市广阳区</w:t>
            </w:r>
            <w:r>
              <w:rPr>
                <w:rFonts w:ascii="仿宋_GB2312" w:eastAsia="仿宋_GB2312" w:cs="宋体"/>
                <w:b/>
                <w:bCs/>
                <w:kern w:val="0"/>
                <w:sz w:val="28"/>
                <w:szCs w:val="28"/>
              </w:rPr>
              <w:t>发展改革局</w:t>
            </w:r>
          </w:p>
        </w:tc>
        <w:tc>
          <w:tcPr>
            <w:tcW w:w="3770" w:type="dxa"/>
            <w:vAlign w:val="center"/>
          </w:tcPr>
          <w:p>
            <w:pPr>
              <w:widowControl/>
              <w:spacing w:line="570" w:lineRule="exact"/>
              <w:jc w:val="center"/>
              <w:rPr>
                <w:rFonts w:ascii="宋体" w:hAnsi="宋体" w:eastAsia="仿宋_GB2312" w:cs="宋体"/>
                <w:kern w:val="0"/>
                <w:sz w:val="28"/>
                <w:szCs w:val="28"/>
              </w:rPr>
            </w:pPr>
            <w:r>
              <w:rPr>
                <w:rFonts w:hint="eastAsia" w:ascii="仿宋_GB2312" w:eastAsia="仿宋_GB2312" w:cs="宋体"/>
                <w:kern w:val="0"/>
                <w:sz w:val="28"/>
                <w:szCs w:val="28"/>
              </w:rPr>
              <w:t>截止时间：201</w:t>
            </w:r>
            <w:r>
              <w:rPr>
                <w:rFonts w:ascii="仿宋_GB2312" w:eastAsia="仿宋_GB2312" w:cs="宋体"/>
                <w:kern w:val="0"/>
                <w:sz w:val="28"/>
                <w:szCs w:val="28"/>
              </w:rPr>
              <w:t>7</w:t>
            </w:r>
            <w:r>
              <w:rPr>
                <w:rFonts w:hint="eastAsia" w:ascii="仿宋_GB2312" w:eastAsia="仿宋_GB2312" w:cs="宋体"/>
                <w:kern w:val="0"/>
                <w:sz w:val="28"/>
                <w:szCs w:val="28"/>
              </w:rPr>
              <w:t>年12月31日</w:t>
            </w:r>
            <w:r>
              <w:rPr>
                <w:rFonts w:ascii="宋体" w:hAnsi="宋体" w:eastAsia="仿宋_GB2312" w:cs="宋体"/>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44.19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宋体"/>
                <w:kern w:val="0"/>
                <w:sz w:val="28"/>
                <w:szCs w:val="28"/>
              </w:rPr>
            </w:pPr>
            <w:r>
              <w:rPr>
                <w:rFonts w:ascii="宋体" w:hAnsi="宋体" w:eastAsia="仿宋_GB2312" w:cs="宋体"/>
                <w:kern w:val="0"/>
                <w:sz w:val="28"/>
                <w:szCs w:val="28"/>
              </w:rPr>
              <w:t>154</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44.19</w:t>
            </w:r>
          </w:p>
        </w:tc>
      </w:tr>
    </w:tbl>
    <w:p>
      <w:pPr>
        <w:pStyle w:val="7"/>
        <w:spacing w:line="570" w:lineRule="exact"/>
        <w:rPr>
          <w:rFonts w:ascii="黑体" w:eastAsia="黑体" w:cs="宋体"/>
          <w:b/>
          <w:bCs/>
          <w:sz w:val="32"/>
          <w:szCs w:val="32"/>
        </w:rPr>
      </w:pPr>
    </w:p>
    <w:p>
      <w:pPr>
        <w:pStyle w:val="7"/>
        <w:spacing w:line="570" w:lineRule="exact"/>
        <w:rPr>
          <w:rFonts w:ascii="仿宋_GB2312" w:eastAsia="仿宋_GB2312"/>
          <w:b/>
          <w:bCs/>
          <w:sz w:val="32"/>
          <w:szCs w:val="32"/>
        </w:rPr>
      </w:pPr>
      <w:r>
        <w:rPr>
          <w:rFonts w:ascii="黑体" w:eastAsia="黑体" w:cs="宋体"/>
          <w:b/>
          <w:bCs/>
          <w:sz w:val="32"/>
          <w:szCs w:val="32"/>
        </w:rPr>
        <w:br w:type="page"/>
      </w: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spacing w:line="570" w:lineRule="exact"/>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spacing w:line="570" w:lineRule="exact"/>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570" w:lineRule="exact"/>
        <w:jc w:val="left"/>
        <w:rPr>
          <w:rFonts w:ascii="宋体" w:hAnsi="宋体" w:eastAsia="仿宋_GB2312" w:cs="宋体"/>
          <w:color w:val="000000"/>
          <w:kern w:val="0"/>
          <w:sz w:val="32"/>
          <w:szCs w:val="32"/>
        </w:rPr>
      </w:pPr>
      <w:r>
        <w:rPr>
          <w:rFonts w:hint="eastAsia" w:ascii="黑体" w:eastAsia="黑体" w:cs="宋体"/>
          <w:b/>
          <w:bCs/>
          <w:color w:val="000000"/>
          <w:kern w:val="0"/>
          <w:sz w:val="32"/>
          <w:szCs w:val="32"/>
        </w:rPr>
        <w:t>九、其</w:t>
      </w:r>
      <w:r>
        <w:rPr>
          <w:rFonts w:hint="eastAsia" w:ascii="黑体" w:eastAsia="黑体" w:cs="宋体"/>
          <w:b/>
          <w:bCs/>
          <w:color w:val="000000"/>
          <w:kern w:val="0"/>
          <w:sz w:val="32"/>
          <w:szCs w:val="32"/>
          <w:lang w:eastAsia="zh-CN"/>
        </w:rPr>
        <w:t>他</w:t>
      </w:r>
      <w:r>
        <w:rPr>
          <w:rFonts w:hint="eastAsia" w:ascii="黑体" w:eastAsia="黑体" w:cs="宋体"/>
          <w:b/>
          <w:bCs/>
          <w:color w:val="000000"/>
          <w:kern w:val="0"/>
          <w:sz w:val="32"/>
          <w:szCs w:val="32"/>
        </w:rPr>
        <w:t>需要说明的事项</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无其</w:t>
      </w:r>
      <w:r>
        <w:rPr>
          <w:rFonts w:hint="eastAsia" w:ascii="仿宋_GB2312" w:eastAsia="仿宋_GB2312" w:cs="宋体"/>
          <w:color w:val="000000"/>
          <w:kern w:val="0"/>
          <w:sz w:val="32"/>
          <w:szCs w:val="32"/>
          <w:lang w:eastAsia="zh-CN"/>
        </w:rPr>
        <w:t>他</w:t>
      </w:r>
      <w:r>
        <w:rPr>
          <w:rFonts w:hint="eastAsia" w:ascii="仿宋_GB2312" w:eastAsia="仿宋_GB2312" w:cs="宋体"/>
          <w:color w:val="000000"/>
          <w:kern w:val="0"/>
          <w:sz w:val="32"/>
          <w:szCs w:val="32"/>
        </w:rPr>
        <w:t>需要说明的事项。</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p>
    <w:p>
      <w:pPr>
        <w:spacing w:line="570" w:lineRule="exact"/>
        <w:rPr>
          <w:rFonts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FZFangSong-Z02">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A1474"/>
    <w:multiLevelType w:val="multilevel"/>
    <w:tmpl w:val="AFBA1474"/>
    <w:lvl w:ilvl="0" w:tentative="0">
      <w:start w:val="1"/>
      <w:numFmt w:val="chineseCountingThousand"/>
      <w:lvlText w:val="%1、"/>
      <w:lvlJc w:val="left"/>
      <w:pPr>
        <w:tabs>
          <w:tab w:val="left" w:pos="647"/>
        </w:tabs>
        <w:ind w:left="647" w:hanging="647"/>
      </w:pPr>
      <w:rPr>
        <w:rFonts w:hint="default"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96F7A90"/>
    <w:rsid w:val="10E73C28"/>
    <w:rsid w:val="5B191F8C"/>
    <w:rsid w:val="780412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26</Pages>
  <Words>7649</Words>
  <Characters>8431</Characters>
  <Lines>900</Lines>
  <Paragraphs>332</Paragraphs>
  <TotalTime>0</TotalTime>
  <ScaleCrop>false</ScaleCrop>
  <LinksUpToDate>false</LinksUpToDate>
  <CharactersWithSpaces>8518</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2017-10-27T09:23:00Z</dcterms:created>
  <dc:creator>lenovo</dc:creator>
  <cp:lastModifiedBy>Administrator</cp:lastModifiedBy>
  <dcterms:modified xsi:type="dcterms:W3CDTF">2024-01-18T01:46:52Z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332E8B8D4A314286B8CECCA706A68F41</vt:lpwstr>
  </property>
</Properties>
</file>