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廊坊市广阳区安监局201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廊坊市广阳区安全生产监督管理局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pStyle w:val="8"/>
        <w:widowControl/>
        <w:ind w:firstLine="0" w:firstLineChars="0"/>
        <w:jc w:val="left"/>
        <w:rPr>
          <w:rFonts w:ascii="仿宋_GB2312" w:eastAsia="仿宋_GB2312"/>
          <w:color w:val="333333"/>
          <w:kern w:val="0"/>
          <w:sz w:val="32"/>
          <w:szCs w:val="32"/>
        </w:rPr>
      </w:pPr>
      <w:r>
        <w:rPr>
          <w:rFonts w:ascii="仿宋_GB2312" w:eastAsia="仿宋_GB2312"/>
          <w:kern w:val="0"/>
          <w:sz w:val="32"/>
        </w:rPr>
        <w:t>1、</w:t>
      </w:r>
      <w:r>
        <w:rPr>
          <w:rFonts w:hint="eastAsia" w:ascii="仿宋_GB2312" w:eastAsia="仿宋_GB2312"/>
          <w:kern w:val="0"/>
          <w:sz w:val="32"/>
        </w:rPr>
        <w:t>承担区政府安全生产委员会办公室的日常工作。</w:t>
      </w:r>
    </w:p>
    <w:p>
      <w:pPr>
        <w:widowControl/>
        <w:jc w:val="left"/>
        <w:rPr>
          <w:rFonts w:ascii="仿宋_GB2312" w:eastAsia="仿宋_GB2312"/>
          <w:kern w:val="0"/>
          <w:sz w:val="32"/>
        </w:rPr>
      </w:pPr>
      <w:r>
        <w:rPr>
          <w:rFonts w:ascii="仿宋_GB2312" w:eastAsia="仿宋_GB2312"/>
          <w:kern w:val="0"/>
          <w:sz w:val="32"/>
        </w:rPr>
        <w:t>2、</w:t>
      </w:r>
      <w:r>
        <w:rPr>
          <w:rFonts w:hint="eastAsia" w:ascii="仿宋_GB2312" w:eastAsia="仿宋_GB2312"/>
          <w:kern w:val="0"/>
          <w:sz w:val="32"/>
        </w:rPr>
        <w:t>综合管理全区安全生产工作。组织起草安全生产方面的规范性文件，拟定及审核工矿商贸企业安全生产标准，并组织实施；组织指导全县工矿商贸企业安全生产质量标准化工作。</w:t>
      </w:r>
    </w:p>
    <w:p>
      <w:pPr>
        <w:pStyle w:val="8"/>
        <w:widowControl/>
        <w:ind w:firstLine="0" w:firstLineChars="0"/>
        <w:jc w:val="left"/>
        <w:rPr>
          <w:rFonts w:ascii="仿宋_GB2312" w:eastAsia="仿宋_GB2312"/>
          <w:kern w:val="0"/>
          <w:sz w:val="32"/>
        </w:rPr>
      </w:pPr>
      <w:r>
        <w:rPr>
          <w:rFonts w:ascii="仿宋_GB2312" w:eastAsia="仿宋_GB2312"/>
          <w:kern w:val="0"/>
          <w:sz w:val="32"/>
        </w:rPr>
        <w:t>3、</w:t>
      </w:r>
      <w:r>
        <w:rPr>
          <w:rFonts w:hint="eastAsia" w:ascii="仿宋_GB2312" w:eastAsia="仿宋_GB2312"/>
          <w:kern w:val="0"/>
          <w:sz w:val="32"/>
        </w:rPr>
        <w:t>依法行使国家安全生产综合监督管理职权，指导、协调和监督有关部门安全生产监督管理工作；拟定全区安全生产发展规划；定期分析和预测全区安全生产形势，研究、协调和解决安全生产中的重大问题。</w:t>
      </w:r>
    </w:p>
    <w:p>
      <w:pPr>
        <w:pStyle w:val="8"/>
        <w:widowControl/>
        <w:ind w:firstLine="0" w:firstLineChars="0"/>
        <w:jc w:val="left"/>
        <w:rPr>
          <w:rFonts w:ascii="仿宋_GB2312" w:eastAsia="仿宋_GB2312"/>
          <w:kern w:val="0"/>
          <w:sz w:val="32"/>
        </w:rPr>
      </w:pPr>
      <w:r>
        <w:rPr>
          <w:rFonts w:ascii="仿宋_GB2312" w:eastAsia="仿宋_GB2312"/>
          <w:kern w:val="0"/>
          <w:sz w:val="32"/>
        </w:rPr>
        <w:t>4、</w:t>
      </w:r>
      <w:r>
        <w:rPr>
          <w:rFonts w:hint="eastAsia" w:ascii="仿宋_GB2312" w:eastAsia="仿宋_GB2312"/>
          <w:kern w:val="0"/>
          <w:sz w:val="32"/>
        </w:rPr>
        <w:t>负责发布全区安全生产信息，综合管理全区生产安全伤亡事故调查统计和安全生产行政执法分析工作；依法组织、协调重特大事故的调查处理工作，受区政府委托对重特大事故的调查报告进行批复，并监督事故查处的落实情况；组织、指挥和协调安全生产应急救援工作。</w:t>
      </w:r>
    </w:p>
    <w:p>
      <w:pPr>
        <w:pStyle w:val="8"/>
        <w:widowControl/>
        <w:ind w:firstLine="0" w:firstLineChars="0"/>
        <w:jc w:val="left"/>
        <w:rPr>
          <w:rFonts w:ascii="仿宋_GB2312" w:eastAsia="仿宋_GB2312"/>
          <w:kern w:val="0"/>
          <w:sz w:val="32"/>
        </w:rPr>
      </w:pPr>
      <w:r>
        <w:rPr>
          <w:rFonts w:ascii="仿宋_GB2312" w:eastAsia="仿宋_GB2312"/>
          <w:kern w:val="0"/>
          <w:sz w:val="32"/>
        </w:rPr>
        <w:t>5、</w:t>
      </w:r>
      <w:r>
        <w:rPr>
          <w:rFonts w:hint="eastAsia" w:ascii="仿宋_GB2312" w:eastAsia="仿宋_GB2312"/>
          <w:kern w:val="0"/>
          <w:sz w:val="32"/>
        </w:rPr>
        <w:t>负责综合监督管理危险化学品和烟花爆竹安全生产工作。</w:t>
      </w:r>
    </w:p>
    <w:p>
      <w:pPr>
        <w:widowControl/>
        <w:jc w:val="left"/>
        <w:rPr>
          <w:rFonts w:ascii="仿宋_GB2312" w:eastAsia="仿宋_GB2312"/>
          <w:kern w:val="0"/>
          <w:sz w:val="32"/>
        </w:rPr>
      </w:pPr>
      <w:r>
        <w:rPr>
          <w:rFonts w:ascii="仿宋_GB2312" w:eastAsia="仿宋_GB2312"/>
          <w:kern w:val="0"/>
          <w:sz w:val="32"/>
        </w:rPr>
        <w:t>6、</w:t>
      </w:r>
      <w:r>
        <w:rPr>
          <w:rFonts w:hint="eastAsia" w:ascii="仿宋_GB2312" w:eastAsia="仿宋_GB2312"/>
          <w:kern w:val="0"/>
          <w:sz w:val="32"/>
        </w:rPr>
        <w:t>指导、协调全区安全生产检测检验工作；组织实施对工矿商贸企业安全生产条件和有关设备（特种设备除外）进行检测检验、安全评价、安全培训、安全咨询等社会中介组织的资质管理工作，并进行监督检查。</w:t>
      </w:r>
    </w:p>
    <w:p>
      <w:pPr>
        <w:pStyle w:val="8"/>
        <w:widowControl/>
        <w:ind w:firstLine="0" w:firstLineChars="0"/>
        <w:jc w:val="left"/>
        <w:rPr>
          <w:rFonts w:ascii="仿宋_GB2312" w:eastAsia="仿宋_GB2312"/>
          <w:kern w:val="0"/>
          <w:sz w:val="32"/>
        </w:rPr>
      </w:pPr>
      <w:r>
        <w:rPr>
          <w:rFonts w:ascii="仿宋_GB2312" w:eastAsia="仿宋_GB2312"/>
          <w:kern w:val="0"/>
          <w:sz w:val="32"/>
        </w:rPr>
        <w:t>7、</w:t>
      </w:r>
      <w:r>
        <w:rPr>
          <w:rFonts w:hint="eastAsia" w:ascii="仿宋_GB2312" w:eastAsia="仿宋_GB2312"/>
          <w:kern w:val="0"/>
          <w:sz w:val="32"/>
        </w:rPr>
        <w:t>组织、指导全区安全生产宣传教育工作；负责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p>
    <w:p>
      <w:pPr>
        <w:pStyle w:val="8"/>
        <w:widowControl/>
        <w:ind w:firstLine="0" w:firstLineChars="0"/>
        <w:jc w:val="left"/>
        <w:rPr>
          <w:rFonts w:ascii="仿宋_GB2312" w:eastAsia="仿宋_GB2312"/>
          <w:kern w:val="0"/>
          <w:sz w:val="32"/>
        </w:rPr>
      </w:pPr>
      <w:r>
        <w:rPr>
          <w:rFonts w:ascii="仿宋_GB2312" w:eastAsia="仿宋_GB2312"/>
          <w:kern w:val="0"/>
          <w:sz w:val="32"/>
        </w:rPr>
        <w:t>8、</w:t>
      </w:r>
      <w:r>
        <w:rPr>
          <w:rFonts w:hint="eastAsia" w:ascii="仿宋_GB2312" w:eastAsia="仿宋_GB2312"/>
          <w:kern w:val="0"/>
          <w:sz w:val="32"/>
        </w:rPr>
        <w:t>依法监督工矿商贸企业贯彻执行安全生产法律、法规情况及其安全生产条件和有关设备（特种设备除外）、材料、劳动防护用品的安全管理工作。</w:t>
      </w:r>
    </w:p>
    <w:p>
      <w:pPr>
        <w:pStyle w:val="8"/>
        <w:widowControl/>
        <w:ind w:firstLine="0" w:firstLineChars="0"/>
        <w:jc w:val="left"/>
        <w:rPr>
          <w:rFonts w:ascii="仿宋_GB2312" w:eastAsia="仿宋_GB2312"/>
          <w:kern w:val="0"/>
          <w:sz w:val="32"/>
        </w:rPr>
      </w:pPr>
      <w:r>
        <w:rPr>
          <w:rFonts w:ascii="仿宋_GB2312" w:eastAsia="仿宋_GB2312"/>
          <w:kern w:val="0"/>
          <w:sz w:val="32"/>
        </w:rPr>
        <w:t>9、</w:t>
      </w:r>
      <w:r>
        <w:rPr>
          <w:rFonts w:hint="eastAsia" w:ascii="仿宋_GB2312" w:eastAsia="仿宋_GB2312"/>
          <w:kern w:val="0"/>
          <w:sz w:val="32"/>
        </w:rPr>
        <w:t>依法监督检查新建、改建、扩建工程项目的安全设施与主体工程同时设计、同时施工、同时投产使用（以下简称“三同时”）情况；依法监督检查生产经营单位作业场所职业卫生情况和重大危险源监控、重大事故隐患的整改工作，依法查处不具备安全生产条件的生产经营单位。</w:t>
      </w:r>
    </w:p>
    <w:p>
      <w:pPr>
        <w:pStyle w:val="8"/>
        <w:widowControl/>
        <w:ind w:firstLine="0" w:firstLineChars="0"/>
        <w:jc w:val="left"/>
        <w:rPr>
          <w:rFonts w:ascii="仿宋_GB2312" w:eastAsia="仿宋_GB2312"/>
          <w:kern w:val="0"/>
          <w:sz w:val="32"/>
        </w:rPr>
      </w:pPr>
      <w:r>
        <w:rPr>
          <w:rFonts w:ascii="仿宋_GB2312" w:eastAsia="仿宋_GB2312"/>
          <w:kern w:val="0"/>
          <w:sz w:val="32"/>
        </w:rPr>
        <w:t>10、</w:t>
      </w:r>
      <w:r>
        <w:rPr>
          <w:rFonts w:hint="eastAsia" w:ascii="仿宋_GB2312" w:eastAsia="仿宋_GB2312"/>
          <w:kern w:val="0"/>
          <w:sz w:val="32"/>
        </w:rPr>
        <w:t>拟定安全生产科技规划，组织、指导安全生产重大科学技术研究和技术示范工作。</w:t>
      </w:r>
    </w:p>
    <w:p>
      <w:pPr>
        <w:pStyle w:val="8"/>
        <w:widowControl/>
        <w:ind w:firstLine="0" w:firstLineChars="0"/>
        <w:jc w:val="left"/>
        <w:rPr>
          <w:rFonts w:ascii="仿宋_GB2312" w:eastAsia="仿宋_GB2312"/>
          <w:kern w:val="0"/>
          <w:sz w:val="32"/>
        </w:rPr>
      </w:pPr>
      <w:r>
        <w:rPr>
          <w:rFonts w:ascii="仿宋_GB2312" w:eastAsia="仿宋_GB2312"/>
          <w:kern w:val="0"/>
          <w:sz w:val="32"/>
        </w:rPr>
        <w:t>11、</w:t>
      </w:r>
      <w:r>
        <w:rPr>
          <w:rFonts w:hint="eastAsia" w:ascii="仿宋_GB2312" w:eastAsia="仿宋_GB2312"/>
          <w:kern w:val="0"/>
          <w:sz w:val="32"/>
        </w:rPr>
        <w:t>负责全区铁路道口安全管理工作。</w:t>
      </w:r>
    </w:p>
    <w:p>
      <w:pPr>
        <w:widowControl/>
        <w:jc w:val="left"/>
        <w:rPr>
          <w:rFonts w:ascii="仿宋_GB2312" w:eastAsia="仿宋_GB2312"/>
          <w:kern w:val="0"/>
          <w:sz w:val="32"/>
        </w:rPr>
      </w:pPr>
      <w:r>
        <w:rPr>
          <w:rFonts w:ascii="仿宋_GB2312" w:eastAsia="仿宋_GB2312"/>
          <w:kern w:val="0"/>
          <w:sz w:val="32"/>
        </w:rPr>
        <w:t>12、</w:t>
      </w:r>
      <w:r>
        <w:rPr>
          <w:rFonts w:hint="eastAsia" w:ascii="仿宋_GB2312" w:eastAsia="仿宋_GB2312"/>
          <w:kern w:val="0"/>
          <w:sz w:val="32"/>
        </w:rPr>
        <w:t>组织实施注册安全工程师执业资格制度，监督和指导注册安全工程师执业资格考试和注册工作。</w:t>
      </w:r>
    </w:p>
    <w:p>
      <w:pPr>
        <w:pStyle w:val="8"/>
        <w:widowControl/>
        <w:ind w:firstLine="0" w:firstLineChars="0"/>
        <w:jc w:val="left"/>
        <w:rPr>
          <w:rFonts w:ascii="仿宋_GB2312" w:eastAsia="仿宋_GB2312"/>
          <w:kern w:val="0"/>
          <w:sz w:val="32"/>
        </w:rPr>
      </w:pPr>
      <w:r>
        <w:rPr>
          <w:rFonts w:ascii="仿宋_GB2312" w:eastAsia="仿宋_GB2312"/>
          <w:kern w:val="0"/>
          <w:sz w:val="32"/>
        </w:rPr>
        <w:t>13、</w:t>
      </w:r>
      <w:r>
        <w:rPr>
          <w:rFonts w:hint="eastAsia" w:ascii="仿宋_GB2312" w:eastAsia="仿宋_GB2312"/>
          <w:kern w:val="0"/>
          <w:sz w:val="32"/>
        </w:rPr>
        <w:t>组织开展与区外组织安全生产方面的交流与合作。</w:t>
      </w:r>
    </w:p>
    <w:p>
      <w:pPr>
        <w:spacing w:line="600" w:lineRule="exact"/>
        <w:rPr>
          <w:rFonts w:ascii="仿宋_GB2312" w:eastAsia="仿宋_GB2312"/>
          <w:kern w:val="0"/>
          <w:sz w:val="32"/>
        </w:rPr>
      </w:pPr>
      <w:r>
        <w:rPr>
          <w:rFonts w:ascii="仿宋_GB2312" w:eastAsia="仿宋_GB2312"/>
          <w:kern w:val="0"/>
          <w:sz w:val="32"/>
        </w:rPr>
        <w:t>14、</w:t>
      </w:r>
      <w:r>
        <w:rPr>
          <w:rFonts w:hint="eastAsia" w:ascii="仿宋_GB2312" w:eastAsia="仿宋_GB2312"/>
          <w:kern w:val="0"/>
          <w:sz w:val="32"/>
        </w:rPr>
        <w:t>承办区政府交办的其他事项。</w:t>
      </w:r>
    </w:p>
    <w:p>
      <w:pPr>
        <w:widowControl/>
        <w:spacing w:line="360" w:lineRule="atLeast"/>
        <w:ind w:left="639" w:leftChars="228"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3060" w:type="dxa"/>
        <w:tblCellSpacing w:w="0" w:type="dxa"/>
        <w:tblInd w:w="-2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33"/>
        <w:gridCol w:w="2076"/>
        <w:gridCol w:w="1793"/>
        <w:gridCol w:w="42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93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5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3" w:hRule="exact"/>
          <w:tblCellSpacing w:w="0" w:type="dxa"/>
        </w:trPr>
        <w:tc>
          <w:tcPr>
            <w:tcW w:w="4933"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kern w:val="0"/>
                <w:sz w:val="32"/>
              </w:rPr>
            </w:pPr>
            <w:r>
              <w:rPr>
                <w:rFonts w:hint="eastAsia" w:ascii="仿宋_GB2312" w:eastAsia="仿宋_GB2312"/>
                <w:kern w:val="0"/>
                <w:sz w:val="32"/>
              </w:rPr>
              <w:t>廊坊市广阳区安全生产监督管理局</w:t>
            </w:r>
          </w:p>
        </w:tc>
        <w:tc>
          <w:tcPr>
            <w:tcW w:w="2076"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kern w:val="0"/>
                <w:sz w:val="32"/>
              </w:rPr>
            </w:pPr>
            <w:r>
              <w:rPr>
                <w:rFonts w:hint="eastAsia" w:ascii="仿宋_GB2312" w:eastAsia="仿宋_GB2312"/>
                <w:kern w:val="0"/>
                <w:sz w:val="32"/>
              </w:rPr>
              <w:t>行政</w:t>
            </w:r>
          </w:p>
        </w:tc>
        <w:tc>
          <w:tcPr>
            <w:tcW w:w="17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kern w:val="0"/>
                <w:sz w:val="32"/>
              </w:rPr>
            </w:pPr>
            <w:r>
              <w:rPr>
                <w:rFonts w:hint="eastAsia" w:ascii="仿宋_GB2312" w:eastAsia="仿宋_GB2312"/>
                <w:kern w:val="0"/>
                <w:sz w:val="32"/>
              </w:rPr>
              <w:t>正科级</w:t>
            </w:r>
          </w:p>
        </w:tc>
        <w:tc>
          <w:tcPr>
            <w:tcW w:w="4258"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kern w:val="0"/>
                <w:sz w:val="32"/>
              </w:rPr>
            </w:pPr>
            <w:r>
              <w:rPr>
                <w:rFonts w:hint="eastAsia" w:ascii="仿宋_GB2312" w:eastAsia="仿宋_GB2312"/>
                <w:kern w:val="0"/>
                <w:sz w:val="32"/>
              </w:rPr>
              <w:t>财政拨款</w:t>
            </w:r>
          </w:p>
        </w:tc>
      </w:tr>
    </w:tbl>
    <w:p>
      <w:pPr>
        <w:widowControl/>
        <w:spacing w:line="570" w:lineRule="exact"/>
        <w:jc w:val="left"/>
        <w:rPr>
          <w:rFonts w:ascii="仿宋_GB2312" w:eastAsia="仿宋_GB2312" w:cs="宋体"/>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广阳区安全生产监督管理局</w:t>
      </w:r>
      <w:r>
        <w:rPr>
          <w:rFonts w:hint="eastAsia" w:ascii="仿宋_GB2312" w:hAnsi="Times New Roman" w:eastAsia="仿宋_GB2312" w:cs="Times New Roman"/>
          <w:sz w:val="32"/>
          <w:szCs w:val="32"/>
        </w:rPr>
        <w:t>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561.51</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561.51</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事业收入0万元，其他收入0万元。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018年度</w:t>
      </w:r>
      <w:r>
        <w:rPr>
          <w:rFonts w:hint="eastAsia" w:ascii="仿宋_GB2312" w:eastAsia="仿宋_GB2312"/>
          <w:kern w:val="0"/>
          <w:sz w:val="32"/>
        </w:rPr>
        <w:t>廊坊市广阳区安全生产监督管理局</w:t>
      </w:r>
      <w:r>
        <w:rPr>
          <w:rFonts w:ascii="仿宋_GB2312" w:eastAsia="仿宋_GB2312" w:cs="宋体"/>
          <w:color w:val="000000"/>
          <w:kern w:val="0"/>
          <w:sz w:val="32"/>
          <w:szCs w:val="32"/>
        </w:rPr>
        <w:t>部门预算中支出预算的总体情况。2018年支出预算</w:t>
      </w:r>
      <w:r>
        <w:rPr>
          <w:rFonts w:hint="eastAsia" w:ascii="仿宋_GB2312" w:eastAsia="仿宋_GB2312" w:cs="宋体"/>
          <w:color w:val="000000"/>
          <w:kern w:val="0"/>
          <w:sz w:val="32"/>
          <w:szCs w:val="32"/>
        </w:rPr>
        <w:t>5</w:t>
      </w:r>
      <w:r>
        <w:rPr>
          <w:rFonts w:ascii="仿宋_GB2312" w:eastAsia="仿宋_GB2312" w:cs="宋体"/>
          <w:color w:val="000000"/>
          <w:kern w:val="0"/>
          <w:sz w:val="32"/>
          <w:szCs w:val="32"/>
        </w:rPr>
        <w:t>61.51万元，其中基本支出</w:t>
      </w:r>
      <w:r>
        <w:rPr>
          <w:rFonts w:hint="eastAsia" w:ascii="仿宋_GB2312" w:eastAsia="仿宋_GB2312" w:cs="宋体"/>
          <w:color w:val="000000"/>
          <w:kern w:val="0"/>
          <w:sz w:val="32"/>
          <w:szCs w:val="32"/>
        </w:rPr>
        <w:t>5</w:t>
      </w:r>
      <w:r>
        <w:rPr>
          <w:rFonts w:ascii="仿宋_GB2312" w:eastAsia="仿宋_GB2312" w:cs="宋体"/>
          <w:color w:val="000000"/>
          <w:kern w:val="0"/>
          <w:sz w:val="32"/>
          <w:szCs w:val="32"/>
        </w:rPr>
        <w:t>38.51万元，包括人员经费456.88万元和日常公用经费81.63万元；项目支出</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3万元，主要为</w:t>
      </w:r>
      <w:r>
        <w:rPr>
          <w:rFonts w:hint="eastAsia" w:ascii="仿宋_GB2312" w:eastAsia="仿宋_GB2312" w:cs="宋体"/>
          <w:color w:val="000000"/>
          <w:kern w:val="0"/>
          <w:sz w:val="32"/>
          <w:szCs w:val="32"/>
        </w:rPr>
        <w:t>举报费10万元、</w:t>
      </w:r>
      <w:r>
        <w:rPr>
          <w:rFonts w:ascii="仿宋_GB2312" w:eastAsia="仿宋_GB2312" w:cs="宋体"/>
          <w:color w:val="000000"/>
          <w:kern w:val="0"/>
          <w:sz w:val="32"/>
          <w:szCs w:val="32"/>
        </w:rPr>
        <w:t>印刷费</w:t>
      </w:r>
      <w:r>
        <w:rPr>
          <w:rFonts w:hint="eastAsia" w:ascii="仿宋_GB2312" w:eastAsia="仿宋_GB2312" w:cs="宋体"/>
          <w:color w:val="000000"/>
          <w:kern w:val="0"/>
          <w:sz w:val="32"/>
          <w:szCs w:val="32"/>
        </w:rPr>
        <w:t>2万元</w:t>
      </w:r>
      <w:r>
        <w:rPr>
          <w:rFonts w:ascii="仿宋_GB2312" w:eastAsia="仿宋_GB2312" w:cs="宋体"/>
          <w:color w:val="000000"/>
          <w:kern w:val="0"/>
          <w:sz w:val="32"/>
          <w:szCs w:val="32"/>
        </w:rPr>
        <w:t>、聘请律师经费</w:t>
      </w:r>
      <w:r>
        <w:rPr>
          <w:rFonts w:hint="eastAsia" w:ascii="仿宋_GB2312" w:eastAsia="仿宋_GB2312" w:cs="宋体"/>
          <w:color w:val="000000"/>
          <w:kern w:val="0"/>
          <w:sz w:val="32"/>
          <w:szCs w:val="32"/>
        </w:rPr>
        <w:t>5万元</w:t>
      </w:r>
      <w:r>
        <w:rPr>
          <w:rFonts w:ascii="仿宋_GB2312" w:eastAsia="仿宋_GB2312" w:cs="宋体"/>
          <w:color w:val="000000"/>
          <w:kern w:val="0"/>
          <w:sz w:val="32"/>
          <w:szCs w:val="32"/>
        </w:rPr>
        <w:t>、专项工作经费</w:t>
      </w:r>
      <w:r>
        <w:rPr>
          <w:rFonts w:hint="eastAsia" w:ascii="仿宋_GB2312" w:eastAsia="仿宋_GB2312" w:cs="宋体"/>
          <w:color w:val="000000"/>
          <w:kern w:val="0"/>
          <w:sz w:val="32"/>
          <w:szCs w:val="32"/>
        </w:rPr>
        <w:t>6万元。</w:t>
      </w:r>
      <w:r>
        <w:rPr>
          <w:rFonts w:ascii="仿宋_GB2312" w:eastAsia="仿宋_GB2312" w:cs="宋体"/>
          <w:color w:val="000000"/>
          <w:kern w:val="0"/>
          <w:sz w:val="32"/>
          <w:szCs w:val="32"/>
        </w:rPr>
        <w:t xml:space="preserve"> </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561.51</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91.32</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68.32</w:t>
      </w:r>
      <w:r>
        <w:rPr>
          <w:rFonts w:hint="eastAsia" w:ascii="仿宋_GB2312" w:eastAsia="仿宋_GB2312" w:cs="宋体"/>
          <w:color w:val="000000"/>
          <w:kern w:val="0"/>
          <w:sz w:val="32"/>
          <w:szCs w:val="32"/>
        </w:rPr>
        <w:t>万元，主要为增加人员和</w:t>
      </w:r>
      <w:r>
        <w:rPr>
          <w:rFonts w:ascii="仿宋_GB2312" w:eastAsia="仿宋_GB2312" w:cs="宋体"/>
          <w:color w:val="000000"/>
          <w:kern w:val="0"/>
          <w:sz w:val="32"/>
          <w:szCs w:val="32"/>
        </w:rPr>
        <w:t>办公</w:t>
      </w:r>
      <w:r>
        <w:rPr>
          <w:rFonts w:hint="eastAsia" w:ascii="仿宋_GB2312" w:eastAsia="仿宋_GB2312" w:cs="宋体"/>
          <w:color w:val="000000"/>
          <w:kern w:val="0"/>
          <w:sz w:val="32"/>
          <w:szCs w:val="32"/>
        </w:rPr>
        <w:t>支出；项目支出增加</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万元，主要增加举报费10万元、</w:t>
      </w:r>
      <w:r>
        <w:rPr>
          <w:rFonts w:ascii="仿宋_GB2312" w:eastAsia="仿宋_GB2312" w:cs="宋体"/>
          <w:color w:val="000000"/>
          <w:kern w:val="0"/>
          <w:sz w:val="32"/>
          <w:szCs w:val="32"/>
        </w:rPr>
        <w:t>印刷费</w:t>
      </w:r>
      <w:r>
        <w:rPr>
          <w:rFonts w:hint="eastAsia" w:ascii="仿宋_GB2312" w:eastAsia="仿宋_GB2312" w:cs="宋体"/>
          <w:color w:val="000000"/>
          <w:kern w:val="0"/>
          <w:sz w:val="32"/>
          <w:szCs w:val="32"/>
        </w:rPr>
        <w:t>2万元</w:t>
      </w:r>
      <w:r>
        <w:rPr>
          <w:rFonts w:ascii="仿宋_GB2312" w:eastAsia="仿宋_GB2312" w:cs="宋体"/>
          <w:color w:val="000000"/>
          <w:kern w:val="0"/>
          <w:sz w:val="32"/>
          <w:szCs w:val="32"/>
        </w:rPr>
        <w:t>、聘请律师经费</w:t>
      </w:r>
      <w:r>
        <w:rPr>
          <w:rFonts w:hint="eastAsia" w:ascii="仿宋_GB2312" w:eastAsia="仿宋_GB2312" w:cs="宋体"/>
          <w:color w:val="000000"/>
          <w:kern w:val="0"/>
          <w:sz w:val="32"/>
          <w:szCs w:val="32"/>
        </w:rPr>
        <w:t>5万元</w:t>
      </w:r>
      <w:r>
        <w:rPr>
          <w:rFonts w:ascii="仿宋_GB2312" w:eastAsia="仿宋_GB2312" w:cs="宋体"/>
          <w:color w:val="000000"/>
          <w:kern w:val="0"/>
          <w:sz w:val="32"/>
          <w:szCs w:val="32"/>
        </w:rPr>
        <w:t>、专项工作经费</w:t>
      </w:r>
      <w:r>
        <w:rPr>
          <w:rFonts w:hint="eastAsia" w:ascii="仿宋_GB2312" w:eastAsia="仿宋_GB2312" w:cs="宋体"/>
          <w:color w:val="000000"/>
          <w:kern w:val="0"/>
          <w:sz w:val="32"/>
          <w:szCs w:val="32"/>
        </w:rPr>
        <w:t>6万元。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31.79</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1.79</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30万元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firstLine="640" w:firstLineChars="200"/>
        <w:jc w:val="left"/>
        <w:rPr>
          <w:rFonts w:ascii="仿宋_GB2312" w:eastAsia="仿宋_GB2312"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13.8</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13.8</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13.8</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。同比去年预算安排增加13.8万元，增加原因：其一由我单位职能决定，工作强度增加，执法检查、监管监督、宣传任务重；其二我单位公务用车老化，维护维修开支大。</w:t>
      </w:r>
    </w:p>
    <w:p>
      <w:pPr>
        <w:spacing w:line="570" w:lineRule="exact"/>
        <w:rPr>
          <w:rFonts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p>
    <w:p>
      <w:pPr>
        <w:spacing w:line="570" w:lineRule="exact"/>
        <w:ind w:firstLine="561"/>
        <w:rPr>
          <w:rFonts w:ascii="仿宋_GB2312" w:eastAsia="仿宋_GB2312" w:cs="宋体"/>
          <w:color w:val="000000"/>
          <w:kern w:val="0"/>
          <w:sz w:val="32"/>
          <w:szCs w:val="32"/>
        </w:rPr>
      </w:pPr>
      <w:r>
        <w:rPr>
          <w:rFonts w:hint="eastAsia" w:ascii="仿宋_GB2312" w:eastAsia="仿宋_GB2312" w:cs="宋体"/>
          <w:color w:val="000000"/>
          <w:kern w:val="0"/>
          <w:sz w:val="32"/>
          <w:szCs w:val="32"/>
        </w:rPr>
        <w:t>全面完成各项安全生产工作任务，减少一般事故，遏制较大事故，杜绝重大及以上事故，达到“三个确保”：即确保工矿商贸企业事故死亡人数不突破市定目标；确保不发生较大安全生产（一次死亡3人以上、10人以下）事故；确保全区生产经营性道路交通事故死亡人数不超过市控制目标。</w:t>
      </w:r>
    </w:p>
    <w:p>
      <w:pPr>
        <w:spacing w:line="500" w:lineRule="exact"/>
        <w:rPr>
          <w:rFonts w:ascii="宋体" w:hAnsi="宋体" w:eastAsia="仿宋_GB2312" w:cs="宋体"/>
          <w:color w:val="000000"/>
          <w:kern w:val="0"/>
          <w:sz w:val="32"/>
          <w:szCs w:val="32"/>
        </w:rPr>
      </w:pPr>
    </w:p>
    <w:p>
      <w:pPr>
        <w:spacing w:line="570" w:lineRule="exact"/>
        <w:ind w:left="640" w:hanging="640" w:hangingChars="200"/>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（一）承担区政府安全生产委员会办公室的日常工作。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（二）综合管理全区安全生产工作。组织起草安全生产方面的规范性文件，拟定及审核工矿商贸企业安全生产标准，并组织实施；组织指导全县工矿商贸企业安全生产质量标准化工作。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（三）依法行使国家安全生产综合监督管理职权，指导、协调和监督有关部门安全生产监督管理工作；拟定全区安全生产发展规划；定期分析和预测全区安全生产形势，研究、协调和解决安全生产中的重大问题。</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四）负责发布全区安全生产信息，综合管理全区生产安全伤亡事故调查统计和安全生产行政执法分析工作；依法组织、协调重特大事故的调查处理工作，受区政府委托对重特大事故的调查报告进行批复，并监督事故查处的落实情况；组织、指挥和协调安全生产应急救援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（五）负责综合监督管理危险化学品和烟花爆竹安全生产工作。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六）指导、协调全区安全生产检测检验工作；组织实施对工矿商贸企业安全生产条件和有关设备（特种设备除外）进行检测检验、安全评价、安全培训、安全咨询等社会中介组织的资质管理工作，并进行监督检查。</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七）组织、指导全区安全生产宣传教育工作；负责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（八）依法监督工矿商贸企业贯彻执行安全生产法律、法规情况及其安全生产条件和有关设备（特种设备除外）、材料、劳动防护用品的安全管理工作。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九）依法监督检查新建、改建、扩建工程项目的安全设施与主体工程同时设计、同时施工、同时投产使用（以下简称“三同时”）情况；依法监督检查生产经营单位作业场所职业卫生情况和重大危险源监控、重大事故隐患的整改工作，依法查处不具备安全生产条件的生产经营单位。</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（十）拟定安全生产科技规划，组织、指导安全生产重大科学技术研究和技术示范工作。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（十一）负责全区铁路道口安全管理工作。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（十二）组织实施注册安全工程师执业资格制度，监督和指导注册安全工程师执业资格考试和注册工作。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（十三）组织开展与区外组织安全生产方面的交流与合作。</w:t>
      </w:r>
    </w:p>
    <w:p>
      <w:pPr>
        <w:spacing w:line="57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（十四）承办区政府交办的其他事项。</w:t>
      </w:r>
    </w:p>
    <w:p>
      <w:pPr>
        <w:spacing w:line="570" w:lineRule="exact"/>
        <w:ind w:firstLine="560"/>
        <w:rPr>
          <w:rFonts w:ascii="方正仿宋_GBK" w:eastAsia="方正仿宋_GBK"/>
          <w:sz w:val="28"/>
        </w:rPr>
      </w:pPr>
      <w:r>
        <w:rPr>
          <w:rFonts w:hint="eastAsia" w:ascii="方正仿宋_GBK" w:eastAsia="方正仿宋_GBK"/>
          <w:sz w:val="28"/>
        </w:rPr>
        <w:t> </w:t>
      </w:r>
      <w:r>
        <w:rPr>
          <w:rFonts w:hint="eastAsia" w:ascii="方正黑体_GBK" w:eastAsia="方正黑体_GBK"/>
          <w:sz w:val="28"/>
        </w:rPr>
        <w:t xml:space="preserve"> </w:t>
      </w:r>
    </w:p>
    <w:p>
      <w:pPr>
        <w:widowControl/>
        <w:spacing w:line="360" w:lineRule="atLeast"/>
        <w:jc w:val="center"/>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sz w:val="32"/>
                <w:szCs w:val="32"/>
              </w:rPr>
            </w:pPr>
            <w:r>
              <w:rPr>
                <w:rFonts w:hint="eastAsia" w:ascii="仿宋" w:eastAsia="仿宋" w:cs="宋体"/>
                <w:color w:val="000000"/>
                <w:kern w:val="0"/>
                <w:sz w:val="32"/>
                <w:szCs w:val="32"/>
              </w:rPr>
              <w:t>721廊坊市广阳区安全生产监督管理局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eastAsia="仿宋"/>
                <w:sz w:val="32"/>
                <w:szCs w:val="32"/>
              </w:rPr>
            </w:pPr>
            <w:r>
              <w:rPr>
                <w:rFonts w:hint="eastAsia" w:ascii="仿宋" w:eastAsia="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职责活动</w:t>
            </w:r>
          </w:p>
        </w:tc>
        <w:tc>
          <w:tcPr>
            <w:tcW w:w="12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年度预算数</w:t>
            </w:r>
          </w:p>
        </w:tc>
        <w:tc>
          <w:tcPr>
            <w:tcW w:w="29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内容描述</w:t>
            </w:r>
          </w:p>
        </w:tc>
        <w:tc>
          <w:tcPr>
            <w:tcW w:w="2976"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绩效目标</w:t>
            </w:r>
          </w:p>
        </w:tc>
        <w:tc>
          <w:tcPr>
            <w:tcW w:w="1417" w:type="dxa"/>
            <w:vMerge w:val="restart"/>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绩效指标</w:t>
            </w:r>
          </w:p>
        </w:tc>
        <w:tc>
          <w:tcPr>
            <w:tcW w:w="2948" w:type="dxa"/>
            <w:gridSpan w:val="4"/>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优</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良</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中</w:t>
            </w:r>
          </w:p>
        </w:tc>
        <w:tc>
          <w:tcPr>
            <w:tcW w:w="737" w:type="dxa"/>
            <w:shd w:val="clear" w:color="auto" w:fill="auto"/>
            <w:vAlign w:val="center"/>
          </w:tcPr>
          <w:p>
            <w:pPr>
              <w:spacing w:line="300" w:lineRule="exact"/>
              <w:jc w:val="center"/>
              <w:rPr>
                <w:rFonts w:ascii="仿宋" w:eastAsia="仿宋"/>
                <w:b/>
                <w:sz w:val="32"/>
                <w:szCs w:val="32"/>
              </w:rPr>
            </w:pPr>
            <w:r>
              <w:rPr>
                <w:rFonts w:hint="eastAsia" w:ascii="仿宋" w:eastAsia="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一、组织全县安全生产综合监督管理</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辨识与评估及登记建档、备案与核销等安全管理。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组织制订全县各行业</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1、加强安全生产执法监察检查</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通过督导检查全县安全生产，最大限度地发现、纠正、督促企业消除各类隐患，预防和减少事故的发生，确保全县安全生产形势持续稳定好转。科学准确进行重大危险源等级界定；有效开展监测数据的综合分析、数据发布工作；督促企业切实加强危险源监控，有效治理隐患，落实监管责任。开展职业病危害严重行业的专项治理，组织职业病危害项目申报工作，查处用人单位职业病危害事故和违法行为。</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检查覆盖率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监管企业数量</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专项检查次数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2、构建和完善安全生产监管体系</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基本建成全县安全生产隐患排查治理体系</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结案率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目标考核次数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诚信等级评定覆盖率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监管覆盖率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信息平台功能实现率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安全生产标准化达标率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专项抽查覆盖率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二、重点行业安全生产监管</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                      乡镇安监站标准化建设</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1、加强高危重点行业、商贸及金属非金属矿山安全生产监管</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严格审查企业的安全生产条件，从源头把好企业准入关，消除事故隐患，提升企业安全管理水平，确保我县安全生产形势稳定</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关闭矿山数量</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履行率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工矿商贸生产安全事故死亡人数下降比例</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排查高危生产经营企业（家）安全隐患企业数量</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事故发生数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2、乡镇安监站标准化建设</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健全乡镇安全监管机制建设、强化乡镇安全监管队伍建设、稳定乡镇安全监管人员队伍、加大安全监管财政保障力度、</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明确各乡镇安全站职责，确保我县安全生产形势稳定及安全监管监察到位</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监管机制建设</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监管队伍建设</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监管人员建设</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三、组织指挥和协调全县安全生产应急救援</w:t>
            </w:r>
          </w:p>
        </w:tc>
        <w:tc>
          <w:tcPr>
            <w:tcW w:w="1276" w:type="dxa"/>
            <w:shd w:val="clear" w:color="auto" w:fill="auto"/>
            <w:vAlign w:val="center"/>
          </w:tcPr>
          <w:p>
            <w:pPr>
              <w:spacing w:line="300" w:lineRule="exact"/>
              <w:jc w:val="left"/>
              <w:rPr>
                <w:rFonts w:ascii="仿宋" w:eastAsia="仿宋"/>
                <w:sz w:val="32"/>
                <w:szCs w:val="32"/>
              </w:rPr>
            </w:pP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安全生产指导预案编制和备案管理，组织应急救援演练，组织协调全县安全生产救援工作。</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1、组织应急预案编制及应急演练</w:t>
            </w:r>
          </w:p>
        </w:tc>
        <w:tc>
          <w:tcPr>
            <w:tcW w:w="1276" w:type="dxa"/>
            <w:vMerge w:val="restart"/>
            <w:shd w:val="clear" w:color="auto" w:fill="auto"/>
            <w:vAlign w:val="center"/>
          </w:tcPr>
          <w:p>
            <w:pPr>
              <w:spacing w:line="300" w:lineRule="exact"/>
              <w:jc w:val="left"/>
              <w:rPr>
                <w:rFonts w:ascii="仿宋" w:eastAsia="仿宋"/>
                <w:sz w:val="32"/>
                <w:szCs w:val="32"/>
              </w:rPr>
            </w:pP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组织指导全县安全生产应急救援预案编制和备案管理，结合事故多发、易发，应急管理基础薄弱的地区、领域、时段、岗位等重点，组织开展实战化应急演练。</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应急预案的管理与实施，及时组织锻炼应急救援队伍，切实提升应急处置能力。理顺应急救援工作机制，推动应急救援指挥中心和应急平台建设，提高突发事件的应急救援能力，保证政府及时采取应对措施，避免或降低事故及其危害程度。增强组织协调能力，提高应急救援效果。</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应急预案演练完成率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应急基地演练完成次数</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应急救援任务完成比例</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四、安全生产政务管理</w:t>
            </w:r>
          </w:p>
        </w:tc>
        <w:tc>
          <w:tcPr>
            <w:tcW w:w="12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23.00</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编制安全生产规划，开展安全生产调研和相关政策制订；开展对外合作交流；加强行政审批管理；开展行政复议及行政应诉工作等；为保障机关履行安全生产监管基本职责提供必要条件。</w:t>
            </w:r>
          </w:p>
        </w:tc>
        <w:tc>
          <w:tcPr>
            <w:tcW w:w="2976"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定期做好安全生产培训，编制安全生产材料，聘请专家依据新安法的要求进行组织培训，尤其是对危化重点行业。        做好会议组织管理、信息化建设与维护、机关财务和资产管理、标准化建设、基建及维修、视频会议系统建设、执法及车辆装备、大型设备购置、人事管理、党务管理、老干部工作等。负责直属企事业单位管理工作。                            对于举报安全生产隐患问题的个人和单位进行有偿奖励。</w:t>
            </w:r>
          </w:p>
        </w:tc>
        <w:tc>
          <w:tcPr>
            <w:tcW w:w="1417" w:type="dxa"/>
            <w:shd w:val="clear" w:color="auto" w:fill="auto"/>
            <w:vAlign w:val="center"/>
          </w:tcPr>
          <w:p>
            <w:pPr>
              <w:spacing w:line="300" w:lineRule="exact"/>
              <w:jc w:val="left"/>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c>
          <w:tcPr>
            <w:tcW w:w="737" w:type="dxa"/>
            <w:shd w:val="clear" w:color="auto" w:fill="auto"/>
            <w:vAlign w:val="center"/>
          </w:tcPr>
          <w:p>
            <w:pPr>
              <w:spacing w:line="300" w:lineRule="exact"/>
              <w:jc w:val="center"/>
              <w:rPr>
                <w:rFonts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sz w:val="32"/>
                <w:szCs w:val="32"/>
              </w:rPr>
            </w:pPr>
            <w:r>
              <w:rPr>
                <w:rFonts w:hint="eastAsia" w:ascii="仿宋" w:eastAsia="仿宋"/>
                <w:b/>
                <w:sz w:val="32"/>
                <w:szCs w:val="32"/>
              </w:rPr>
              <w:t>　　1、综合业务管理</w:t>
            </w:r>
          </w:p>
        </w:tc>
        <w:tc>
          <w:tcPr>
            <w:tcW w:w="12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23.00</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加强专项资金监管；开展对外合作交流；加强安全生产审批管理；开展行政复议及行政应诉工作；信访接待、业务宣传、政务信息公开等工作；开展网上行政服务；依法行政等。</w:t>
            </w:r>
          </w:p>
        </w:tc>
        <w:tc>
          <w:tcPr>
            <w:tcW w:w="2976" w:type="dxa"/>
            <w:vMerge w:val="restart"/>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保障各项业务工作畅通</w:t>
            </w: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综合业务保障率</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信息化建设完成情况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sz w:val="32"/>
                <w:szCs w:val="32"/>
              </w:rPr>
            </w:pPr>
            <w:r>
              <w:rPr>
                <w:rFonts w:hint="eastAsia" w:ascii="仿宋" w:eastAsia="仿宋"/>
                <w:sz w:val="32"/>
                <w:szCs w:val="32"/>
              </w:rPr>
              <w:t>党务管理情况</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100.00%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80.00%</w:t>
            </w:r>
          </w:p>
        </w:tc>
        <w:tc>
          <w:tcPr>
            <w:tcW w:w="737" w:type="dxa"/>
            <w:shd w:val="clear" w:color="auto" w:fill="auto"/>
            <w:vAlign w:val="center"/>
          </w:tcPr>
          <w:p>
            <w:pPr>
              <w:spacing w:line="300" w:lineRule="exact"/>
              <w:jc w:val="center"/>
              <w:rPr>
                <w:rFonts w:ascii="仿宋" w:eastAsia="仿宋"/>
                <w:sz w:val="32"/>
                <w:szCs w:val="32"/>
              </w:rPr>
            </w:pPr>
            <w:r>
              <w:rPr>
                <w:rFonts w:hint="eastAsia" w:ascii="仿宋" w:eastAsia="仿宋"/>
                <w:sz w:val="32"/>
                <w:szCs w:val="32"/>
              </w:rPr>
              <w:t>70.00%</w:t>
            </w:r>
          </w:p>
        </w:tc>
      </w:tr>
    </w:tbl>
    <w:p>
      <w:pPr>
        <w:widowControl/>
        <w:spacing w:line="360" w:lineRule="atLeast"/>
        <w:jc w:val="left"/>
        <w:rPr>
          <w:rFonts w:ascii="宋体" w:hAnsi="宋体" w:eastAsia="仿宋_GB2312" w:cs="宋体"/>
          <w:color w:val="000000"/>
          <w:kern w:val="0"/>
          <w:sz w:val="32"/>
          <w:szCs w:val="32"/>
        </w:rPr>
      </w:pPr>
    </w:p>
    <w:p>
      <w:pPr>
        <w:outlineLvl w:val="0"/>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r>
        <w:rPr>
          <w:rFonts w:ascii="仿宋_GB2312" w:eastAsia="仿宋_GB2312" w:cs="宋体"/>
          <w:color w:val="000000"/>
          <w:kern w:val="0"/>
          <w:sz w:val="32"/>
          <w:szCs w:val="32"/>
        </w:rPr>
        <w:t>。</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Times New Roman"/>
                <w:sz w:val="28"/>
                <w:szCs w:val="28"/>
              </w:rPr>
              <w:t>廊坊市广阳区安监局</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1327"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856"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776" w:type="dxa"/>
            <w:shd w:val="clear" w:color="auto" w:fill="auto"/>
            <w:vAlign w:val="center"/>
          </w:tcPr>
          <w:p>
            <w:pPr>
              <w:spacing w:line="300" w:lineRule="exact"/>
              <w:jc w:val="center"/>
              <w:rPr>
                <w:rFonts w:ascii="仿宋_GB2312" w:eastAsia="仿宋_GB2312" w:cs="Times New Roman"/>
                <w:b/>
                <w:sz w:val="28"/>
                <w:szCs w:val="28"/>
              </w:rPr>
            </w:pPr>
          </w:p>
        </w:tc>
        <w:tc>
          <w:tcPr>
            <w:tcW w:w="837" w:type="dxa"/>
            <w:shd w:val="clear" w:color="auto" w:fill="auto"/>
            <w:vAlign w:val="center"/>
          </w:tcPr>
          <w:p>
            <w:pPr>
              <w:spacing w:line="300" w:lineRule="exact"/>
              <w:jc w:val="center"/>
              <w:rPr>
                <w:rFonts w:ascii="仿宋_GB2312" w:eastAsia="仿宋_GB2312" w:cs="Times New Roman"/>
                <w:b/>
                <w:sz w:val="28"/>
                <w:szCs w:val="28"/>
              </w:rPr>
            </w:pPr>
          </w:p>
        </w:tc>
        <w:tc>
          <w:tcPr>
            <w:tcW w:w="837" w:type="dxa"/>
            <w:shd w:val="clear" w:color="auto" w:fill="auto"/>
            <w:vAlign w:val="center"/>
          </w:tcPr>
          <w:p>
            <w:pPr>
              <w:spacing w:line="300" w:lineRule="exact"/>
              <w:jc w:val="center"/>
              <w:rPr>
                <w:rFonts w:ascii="仿宋_GB2312" w:eastAsia="仿宋_GB2312" w:cs="Times New Roman"/>
                <w:b/>
                <w:sz w:val="28"/>
                <w:szCs w:val="28"/>
              </w:rPr>
            </w:pPr>
          </w:p>
        </w:tc>
        <w:tc>
          <w:tcPr>
            <w:tcW w:w="784" w:type="dxa"/>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仿宋_GB2312" w:eastAsia="仿宋_GB2312" w:cs="Times New Roman"/>
                <w:b/>
                <w:sz w:val="28"/>
                <w:szCs w:val="28"/>
              </w:rPr>
            </w:pPr>
          </w:p>
        </w:tc>
        <w:tc>
          <w:tcPr>
            <w:tcW w:w="1013"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1327"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834" w:type="dxa"/>
            <w:shd w:val="clear" w:color="auto" w:fill="auto"/>
            <w:vAlign w:val="center"/>
          </w:tcPr>
          <w:p>
            <w:pPr>
              <w:spacing w:line="300" w:lineRule="exact"/>
              <w:jc w:val="center"/>
              <w:rPr>
                <w:rFonts w:ascii="仿宋_GB2312" w:eastAsia="仿宋_GB2312" w:cs="Times New Roman"/>
                <w:b/>
                <w:sz w:val="28"/>
                <w:szCs w:val="28"/>
              </w:rPr>
            </w:pPr>
          </w:p>
        </w:tc>
        <w:tc>
          <w:tcPr>
            <w:tcW w:w="856"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853" w:type="dxa"/>
            <w:shd w:val="clear" w:color="auto" w:fill="auto"/>
            <w:vAlign w:val="center"/>
          </w:tcPr>
          <w:p>
            <w:pPr>
              <w:spacing w:line="300" w:lineRule="exact"/>
              <w:jc w:val="center"/>
              <w:rPr>
                <w:rFonts w:ascii="仿宋_GB2312" w:eastAsia="仿宋_GB2312" w:cs="Times New Roman"/>
                <w:b/>
                <w:sz w:val="28"/>
                <w:szCs w:val="28"/>
              </w:rPr>
            </w:pPr>
          </w:p>
        </w:tc>
        <w:tc>
          <w:tcPr>
            <w:tcW w:w="776" w:type="dxa"/>
            <w:shd w:val="clear" w:color="auto" w:fill="auto"/>
            <w:vAlign w:val="center"/>
          </w:tcPr>
          <w:p>
            <w:pPr>
              <w:spacing w:line="300" w:lineRule="exact"/>
              <w:jc w:val="center"/>
              <w:rPr>
                <w:rFonts w:ascii="仿宋_GB2312" w:eastAsia="仿宋_GB2312" w:cs="Times New Roman"/>
                <w:b/>
                <w:sz w:val="28"/>
                <w:szCs w:val="28"/>
              </w:rPr>
            </w:pPr>
          </w:p>
        </w:tc>
        <w:tc>
          <w:tcPr>
            <w:tcW w:w="837" w:type="dxa"/>
            <w:shd w:val="clear" w:color="auto" w:fill="auto"/>
            <w:vAlign w:val="center"/>
          </w:tcPr>
          <w:p>
            <w:pPr>
              <w:spacing w:line="300" w:lineRule="exact"/>
              <w:jc w:val="center"/>
              <w:rPr>
                <w:rFonts w:ascii="仿宋_GB2312" w:eastAsia="仿宋_GB2312" w:cs="Times New Roman"/>
                <w:b/>
                <w:sz w:val="28"/>
                <w:szCs w:val="28"/>
              </w:rPr>
            </w:pPr>
          </w:p>
        </w:tc>
        <w:tc>
          <w:tcPr>
            <w:tcW w:w="837" w:type="dxa"/>
            <w:shd w:val="clear" w:color="auto" w:fill="auto"/>
            <w:vAlign w:val="center"/>
          </w:tcPr>
          <w:p>
            <w:pPr>
              <w:spacing w:line="300" w:lineRule="exact"/>
              <w:jc w:val="center"/>
              <w:rPr>
                <w:rFonts w:ascii="仿宋_GB2312" w:eastAsia="仿宋_GB2312" w:cs="Times New Roman"/>
                <w:b/>
                <w:sz w:val="28"/>
                <w:szCs w:val="28"/>
              </w:rPr>
            </w:pPr>
          </w:p>
        </w:tc>
        <w:tc>
          <w:tcPr>
            <w:tcW w:w="784" w:type="dxa"/>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仿宋_GB2312" w:eastAsia="仿宋_GB2312" w:cs="Times New Roman"/>
                <w:sz w:val="28"/>
                <w:szCs w:val="28"/>
              </w:rPr>
            </w:pPr>
          </w:p>
        </w:tc>
        <w:tc>
          <w:tcPr>
            <w:tcW w:w="1013"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1327"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856"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776" w:type="dxa"/>
            <w:shd w:val="clear" w:color="auto" w:fill="auto"/>
            <w:vAlign w:val="center"/>
          </w:tcPr>
          <w:p>
            <w:pPr>
              <w:spacing w:line="300" w:lineRule="exact"/>
              <w:jc w:val="center"/>
              <w:rPr>
                <w:rFonts w:ascii="仿宋_GB2312" w:eastAsia="仿宋_GB2312" w:cs="Times New Roman"/>
                <w:sz w:val="28"/>
                <w:szCs w:val="28"/>
              </w:rPr>
            </w:pPr>
          </w:p>
        </w:tc>
        <w:tc>
          <w:tcPr>
            <w:tcW w:w="837" w:type="dxa"/>
            <w:shd w:val="clear" w:color="auto" w:fill="auto"/>
            <w:vAlign w:val="center"/>
          </w:tcPr>
          <w:p>
            <w:pPr>
              <w:spacing w:line="300" w:lineRule="exact"/>
              <w:jc w:val="center"/>
              <w:rPr>
                <w:rFonts w:ascii="仿宋_GB2312" w:eastAsia="仿宋_GB2312" w:cs="Times New Roman"/>
                <w:sz w:val="28"/>
                <w:szCs w:val="28"/>
              </w:rPr>
            </w:pPr>
          </w:p>
        </w:tc>
        <w:tc>
          <w:tcPr>
            <w:tcW w:w="837" w:type="dxa"/>
            <w:shd w:val="clear" w:color="auto" w:fill="auto"/>
            <w:vAlign w:val="center"/>
          </w:tcPr>
          <w:p>
            <w:pPr>
              <w:spacing w:line="300" w:lineRule="exact"/>
              <w:jc w:val="center"/>
              <w:rPr>
                <w:rFonts w:ascii="仿宋_GB2312" w:eastAsia="仿宋_GB2312" w:cs="Times New Roman"/>
                <w:sz w:val="28"/>
                <w:szCs w:val="28"/>
              </w:rPr>
            </w:pPr>
          </w:p>
        </w:tc>
        <w:tc>
          <w:tcPr>
            <w:tcW w:w="784" w:type="dxa"/>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300" w:lineRule="exact"/>
              <w:jc w:val="center"/>
              <w:rPr>
                <w:rFonts w:ascii="仿宋_GB2312" w:eastAsia="仿宋_GB2312" w:cs="Times New Roman"/>
                <w:sz w:val="28"/>
                <w:szCs w:val="28"/>
              </w:rPr>
            </w:pPr>
          </w:p>
        </w:tc>
        <w:tc>
          <w:tcPr>
            <w:tcW w:w="1013"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1327"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834" w:type="dxa"/>
            <w:shd w:val="clear" w:color="auto" w:fill="auto"/>
            <w:vAlign w:val="center"/>
          </w:tcPr>
          <w:p>
            <w:pPr>
              <w:spacing w:line="300" w:lineRule="exact"/>
              <w:jc w:val="center"/>
              <w:rPr>
                <w:rFonts w:ascii="仿宋_GB2312" w:eastAsia="仿宋_GB2312" w:cs="Times New Roman"/>
                <w:sz w:val="28"/>
                <w:szCs w:val="28"/>
              </w:rPr>
            </w:pPr>
          </w:p>
        </w:tc>
        <w:tc>
          <w:tcPr>
            <w:tcW w:w="856"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853" w:type="dxa"/>
            <w:shd w:val="clear" w:color="auto" w:fill="auto"/>
            <w:vAlign w:val="center"/>
          </w:tcPr>
          <w:p>
            <w:pPr>
              <w:spacing w:line="300" w:lineRule="exact"/>
              <w:jc w:val="center"/>
              <w:rPr>
                <w:rFonts w:ascii="仿宋_GB2312" w:eastAsia="仿宋_GB2312" w:cs="Times New Roman"/>
                <w:sz w:val="28"/>
                <w:szCs w:val="28"/>
              </w:rPr>
            </w:pPr>
          </w:p>
        </w:tc>
        <w:tc>
          <w:tcPr>
            <w:tcW w:w="776" w:type="dxa"/>
            <w:shd w:val="clear" w:color="auto" w:fill="auto"/>
            <w:vAlign w:val="center"/>
          </w:tcPr>
          <w:p>
            <w:pPr>
              <w:spacing w:line="300" w:lineRule="exact"/>
              <w:jc w:val="center"/>
              <w:rPr>
                <w:rFonts w:ascii="仿宋_GB2312" w:eastAsia="仿宋_GB2312" w:cs="Times New Roman"/>
                <w:sz w:val="28"/>
                <w:szCs w:val="28"/>
              </w:rPr>
            </w:pPr>
          </w:p>
        </w:tc>
        <w:tc>
          <w:tcPr>
            <w:tcW w:w="837" w:type="dxa"/>
            <w:shd w:val="clear" w:color="auto" w:fill="auto"/>
            <w:vAlign w:val="center"/>
          </w:tcPr>
          <w:p>
            <w:pPr>
              <w:spacing w:line="300" w:lineRule="exact"/>
              <w:jc w:val="center"/>
              <w:rPr>
                <w:rFonts w:ascii="仿宋_GB2312" w:eastAsia="仿宋_GB2312" w:cs="Times New Roman"/>
                <w:sz w:val="28"/>
                <w:szCs w:val="28"/>
              </w:rPr>
            </w:pPr>
          </w:p>
        </w:tc>
        <w:tc>
          <w:tcPr>
            <w:tcW w:w="837" w:type="dxa"/>
            <w:shd w:val="clear" w:color="auto" w:fill="auto"/>
            <w:vAlign w:val="center"/>
          </w:tcPr>
          <w:p>
            <w:pPr>
              <w:spacing w:line="300" w:lineRule="exact"/>
              <w:jc w:val="center"/>
              <w:rPr>
                <w:rFonts w:ascii="仿宋_GB2312" w:eastAsia="仿宋_GB2312" w:cs="Times New Roman"/>
                <w:sz w:val="28"/>
                <w:szCs w:val="28"/>
              </w:rPr>
            </w:pPr>
          </w:p>
        </w:tc>
        <w:tc>
          <w:tcPr>
            <w:tcW w:w="784" w:type="dxa"/>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ind w:left="161" w:hanging="161" w:hangingChars="50"/>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广阳区安监局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96.91</w:t>
      </w:r>
      <w:r>
        <w:rPr>
          <w:rFonts w:hint="eastAsia" w:ascii="仿宋_GB2312" w:eastAsia="仿宋_GB2312" w:cs="宋体"/>
          <w:color w:val="000000"/>
          <w:kern w:val="0"/>
          <w:sz w:val="32"/>
          <w:szCs w:val="32"/>
        </w:rPr>
        <w:t>万元，我部门本年度无拟购置固定资产，详见下表。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廊坊市广阳区安监局</w:t>
            </w:r>
          </w:p>
        </w:tc>
        <w:tc>
          <w:tcPr>
            <w:tcW w:w="3790"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96.9070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bl>
    <w:p>
      <w:pPr>
        <w:pStyle w:val="7"/>
        <w:rPr>
          <w:rFonts w:ascii="黑体" w:eastAsia="黑体" w:cs="宋体"/>
          <w:b/>
          <w:bCs/>
          <w:sz w:val="32"/>
          <w:szCs w:val="32"/>
        </w:rPr>
      </w:pPr>
    </w:p>
    <w:p>
      <w:pPr>
        <w:pStyle w:val="7"/>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F83446"/>
    <w:rsid w:val="001B7157"/>
    <w:rsid w:val="004C5E06"/>
    <w:rsid w:val="00521DCD"/>
    <w:rsid w:val="00B40FAB"/>
    <w:rsid w:val="00CA2417"/>
    <w:rsid w:val="00F83446"/>
    <w:rsid w:val="00FE25B4"/>
    <w:rsid w:val="64B26D8E"/>
    <w:rsid w:val="64E1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1158</Words>
  <Characters>6603</Characters>
  <Lines>55</Lines>
  <Paragraphs>15</Paragraphs>
  <TotalTime>1</TotalTime>
  <ScaleCrop>false</ScaleCrop>
  <LinksUpToDate>false</LinksUpToDate>
  <CharactersWithSpaces>7746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2024-01-18T01:40:39Z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935291ED4F9F4DF89E206328C74400CA</vt:lpwstr>
  </property>
</Properties>
</file>