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廊坊市广阳区建设局</w:t>
      </w:r>
      <w:r>
        <w:rPr>
          <w:rFonts w:ascii="方正小标宋简体" w:eastAsia="方正小标宋简体" w:cs="宋体"/>
          <w:b/>
          <w:bCs/>
          <w:color w:val="000000"/>
          <w:kern w:val="0"/>
          <w:sz w:val="44"/>
          <w:szCs w:val="44"/>
        </w:rPr>
        <w:t>2018</w:t>
      </w:r>
      <w:r>
        <w:rPr>
          <w:rFonts w:hint="eastAsia" w:ascii="方正小标宋简体" w:eastAsia="方正小标宋简体" w:cs="宋体"/>
          <w:b/>
          <w:bCs/>
          <w:color w:val="000000"/>
          <w:kern w:val="0"/>
          <w:sz w:val="44"/>
          <w:szCs w:val="44"/>
        </w:rPr>
        <w:t>年部门预算信息公开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廊坊市广阳区建设局</w:t>
      </w:r>
      <w:r>
        <w:rPr>
          <w:rFonts w:ascii="仿宋_GB2312" w:eastAsia="仿宋_GB2312"/>
          <w:sz w:val="32"/>
          <w:szCs w:val="32"/>
        </w:rPr>
        <w:t>2018</w:t>
      </w:r>
      <w:r>
        <w:rPr>
          <w:rFonts w:hint="eastAsia" w:ascii="仿宋_GB2312" w:eastAsia="仿宋_GB2312"/>
          <w:sz w:val="32"/>
          <w:szCs w:val="32"/>
        </w:rPr>
        <w:t>年部门预算公开如下：</w:t>
      </w:r>
    </w:p>
    <w:p>
      <w:pPr>
        <w:widowControl/>
        <w:numPr>
          <w:ilvl w:val="0"/>
          <w:numId w:val="1"/>
        </w:numPr>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tabs>
          <w:tab w:val="left" w:pos="1127"/>
        </w:tabs>
        <w:spacing w:before="100" w:beforeAutospacing="1" w:after="100" w:afterAutospacing="1"/>
        <w:ind w:firstLine="640" w:firstLineChars="200"/>
        <w:rPr>
          <w:rFonts w:ascii="仿宋_GB2312" w:hAnsi="宋体" w:eastAsia="仿宋_GB2312" w:cs="宋体"/>
          <w:color w:val="000000"/>
          <w:sz w:val="32"/>
          <w:szCs w:val="32"/>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w:t>
      </w:r>
      <w:r>
        <w:rPr>
          <w:rFonts w:eastAsia="仿宋_GB2312"/>
          <w:color w:val="000000"/>
          <w:sz w:val="14"/>
          <w:szCs w:val="14"/>
        </w:rPr>
        <w:t xml:space="preserve"> </w:t>
      </w:r>
      <w:r>
        <w:rPr>
          <w:rFonts w:hint="eastAsia" w:ascii="仿宋_GB2312" w:hAnsi="宋体" w:eastAsia="仿宋_GB2312" w:cs="宋体"/>
          <w:color w:val="000000"/>
          <w:sz w:val="32"/>
          <w:szCs w:val="32"/>
        </w:rPr>
        <w:t>负责辖区范围建筑市场管理、稽查工作以及办理工程施工许可证；</w:t>
      </w:r>
    </w:p>
    <w:p>
      <w:pPr>
        <w:tabs>
          <w:tab w:val="left" w:pos="1127"/>
        </w:tabs>
        <w:spacing w:before="100" w:beforeAutospacing="1" w:after="100" w:afterAutospacing="1"/>
        <w:ind w:firstLine="640" w:firstLineChars="200"/>
        <w:rPr>
          <w:rFonts w:ascii="仿宋_GB2312" w:hAnsi="宋体" w:eastAsia="仿宋_GB2312" w:cs="宋体"/>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w:t>
      </w:r>
      <w:r>
        <w:rPr>
          <w:rFonts w:hint="eastAsia" w:ascii="仿宋_GB2312" w:hAnsi="宋体" w:eastAsia="仿宋_GB2312" w:cs="宋体"/>
          <w:color w:val="000000"/>
          <w:sz w:val="32"/>
          <w:szCs w:val="32"/>
        </w:rPr>
        <w:t>负责辖区范围办理质量监督备案、安全生产监督备案的建设工程项目实施监督管理；</w:t>
      </w:r>
    </w:p>
    <w:p>
      <w:pPr>
        <w:tabs>
          <w:tab w:val="left" w:pos="1127"/>
        </w:tabs>
        <w:spacing w:before="100" w:beforeAutospacing="1" w:after="100" w:afterAutospacing="1"/>
        <w:ind w:firstLine="640" w:firstLineChars="200"/>
        <w:rPr>
          <w:rFonts w:ascii="仿宋_GB2312" w:hAnsi="宋体" w:eastAsia="仿宋_GB2312" w:cs="宋体"/>
          <w:color w:val="000000"/>
          <w:sz w:val="32"/>
          <w:szCs w:val="32"/>
        </w:rPr>
      </w:pP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w:t>
      </w:r>
      <w:r>
        <w:rPr>
          <w:rFonts w:hint="eastAsia" w:ascii="仿宋_GB2312" w:hAnsi="宋体" w:eastAsia="仿宋_GB2312" w:cs="宋体"/>
          <w:color w:val="000000"/>
          <w:sz w:val="32"/>
          <w:szCs w:val="32"/>
        </w:rPr>
        <w:t>负责全区村镇建设工作；</w:t>
      </w:r>
    </w:p>
    <w:p>
      <w:pPr>
        <w:tabs>
          <w:tab w:val="left" w:pos="1127"/>
        </w:tabs>
        <w:spacing w:before="100" w:beforeAutospacing="1" w:after="100" w:afterAutospacing="1"/>
        <w:ind w:firstLine="640" w:firstLineChars="200"/>
        <w:rPr>
          <w:rFonts w:ascii="仿宋_GB2312" w:hAnsi="宋体" w:eastAsia="仿宋_GB2312" w:cs="宋体"/>
          <w:color w:val="000000"/>
          <w:sz w:val="32"/>
          <w:szCs w:val="32"/>
        </w:rPr>
      </w:pPr>
      <w:r>
        <w:rPr>
          <w:rFonts w:ascii="仿宋_GB2312" w:hAnsi="宋体" w:eastAsia="仿宋_GB2312" w:cs="仿宋_GB2312"/>
          <w:color w:val="000000"/>
          <w:sz w:val="32"/>
          <w:szCs w:val="32"/>
        </w:rPr>
        <w:t>4</w:t>
      </w:r>
      <w:r>
        <w:rPr>
          <w:rFonts w:hint="eastAsia" w:ascii="仿宋_GB2312" w:hAnsi="宋体" w:eastAsia="仿宋_GB2312" w:cs="仿宋_GB2312"/>
          <w:color w:val="000000"/>
          <w:sz w:val="32"/>
          <w:szCs w:val="32"/>
        </w:rPr>
        <w:t>、</w:t>
      </w:r>
      <w:r>
        <w:rPr>
          <w:rFonts w:hint="eastAsia" w:ascii="仿宋_GB2312" w:hAnsi="宋体" w:eastAsia="仿宋_GB2312" w:cs="宋体"/>
          <w:color w:val="000000"/>
          <w:sz w:val="32"/>
          <w:szCs w:val="32"/>
        </w:rPr>
        <w:t>负责组织广阳区城市棚户区城（旧）改（危陋住宅区）居民调查摸底和登记建档、编制广阳区城市棚户区（危陋住宅区）改造计划和项目实施方案、拆迁成本核算、等项工作；</w:t>
      </w:r>
    </w:p>
    <w:p>
      <w:pPr>
        <w:tabs>
          <w:tab w:val="left" w:pos="1127"/>
        </w:tabs>
        <w:spacing w:before="100" w:beforeAutospacing="1" w:after="100" w:afterAutospacing="1"/>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、组织开展全区人民防空宣传教育，负责全区的防空规划；</w:t>
      </w:r>
    </w:p>
    <w:p>
      <w:pPr>
        <w:tabs>
          <w:tab w:val="left" w:pos="1127"/>
        </w:tabs>
        <w:spacing w:before="100" w:beforeAutospacing="1" w:after="100" w:afterAutospacing="1"/>
        <w:ind w:firstLine="640" w:firstLineChars="200"/>
        <w:rPr>
          <w:rFonts w:ascii="仿宋_GB2312" w:hAnsi="宋体" w:eastAsia="仿宋_GB2312"/>
          <w:color w:val="000000"/>
          <w:sz w:val="32"/>
          <w:szCs w:val="32"/>
        </w:rPr>
      </w:pPr>
      <w:r>
        <w:rPr>
          <w:rFonts w:ascii="仿宋_GB2312" w:hAnsi="宋体" w:eastAsia="仿宋_GB2312" w:cs="宋体"/>
          <w:color w:val="000000"/>
          <w:sz w:val="32"/>
          <w:szCs w:val="32"/>
        </w:rPr>
        <w:t>6</w:t>
      </w:r>
      <w:r>
        <w:rPr>
          <w:rFonts w:hint="eastAsia" w:ascii="仿宋_GB2312" w:hAnsi="宋体" w:eastAsia="仿宋_GB2312" w:cs="宋体"/>
          <w:color w:val="000000"/>
          <w:sz w:val="32"/>
          <w:szCs w:val="32"/>
        </w:rPr>
        <w:t>、负责</w:t>
      </w:r>
      <w:r>
        <w:rPr>
          <w:rFonts w:hint="eastAsia" w:ascii="仿宋_GB2312" w:hAnsi="宋体" w:eastAsia="仿宋_GB2312"/>
          <w:color w:val="000000"/>
          <w:sz w:val="32"/>
          <w:szCs w:val="32"/>
        </w:rPr>
        <w:t>广阳区住房保障工作、广阳区危旧房屋管理工作、做好广阳区供暖服务、做好已售直管公房的公共部位和公共设施的维修管理工作；</w:t>
      </w:r>
    </w:p>
    <w:p>
      <w:pPr>
        <w:widowControl/>
        <w:spacing w:line="360" w:lineRule="atLeast"/>
        <w:ind w:left="639" w:leftChars="228" w:hanging="160" w:hangingChars="50"/>
        <w:jc w:val="left"/>
        <w:rPr>
          <w:rFonts w:ascii="仿宋_GB2312" w:eastAsia="仿宋_GB2312" w:cs="宋体"/>
          <w:color w:val="000000"/>
          <w:kern w:val="0"/>
          <w:sz w:val="32"/>
          <w:szCs w:val="32"/>
        </w:rPr>
      </w:pPr>
      <w:r>
        <w:rPr>
          <w:rFonts w:ascii="仿宋_GB2312" w:hAnsi="宋体" w:eastAsia="仿宋_GB2312"/>
          <w:color w:val="000000"/>
          <w:sz w:val="32"/>
          <w:szCs w:val="32"/>
        </w:rPr>
        <w:t>7</w:t>
      </w:r>
      <w:r>
        <w:rPr>
          <w:rFonts w:hint="eastAsia" w:ascii="仿宋_GB2312" w:hAnsi="宋体" w:eastAsia="仿宋_GB2312"/>
          <w:color w:val="000000"/>
          <w:sz w:val="32"/>
          <w:szCs w:val="32"/>
        </w:rPr>
        <w:t>、做好区政府交办的其它工作</w:t>
      </w:r>
      <w:r>
        <w:rPr>
          <w:rFonts w:hint="eastAsia" w:ascii="仿宋_GB2312" w:hAnsi="宋体" w:eastAsia="仿宋_GB2312" w:cs="宋体"/>
          <w:color w:val="000000"/>
          <w:sz w:val="32"/>
          <w:szCs w:val="32"/>
        </w:rPr>
        <w:t>。</w:t>
      </w:r>
    </w:p>
    <w:p>
      <w:pPr>
        <w:widowControl/>
        <w:spacing w:line="360" w:lineRule="atLeast"/>
        <w:ind w:left="640" w:leftChars="228" w:hanging="161" w:hangingChars="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6"/>
        <w:gridCol w:w="2073"/>
        <w:gridCol w:w="1786"/>
        <w:gridCol w:w="4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6" w:type="dxa"/>
            <w:tcBorders>
              <w:top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8" w:type="dxa"/>
            <w:tcBorders>
              <w:top w:val="outset" w:color="auto" w:sz="6" w:space="0"/>
              <w:left w:val="outset" w:color="auto" w:sz="6" w:space="0"/>
              <w:bottom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6" w:type="dxa"/>
            <w:tcBorders>
              <w:top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廊坊市广阳区建设局</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highlight w:val="yellow"/>
              </w:rPr>
            </w:pPr>
            <w:r>
              <w:rPr>
                <w:rFonts w:hint="eastAsia" w:ascii="仿宋_GB2312" w:eastAsia="仿宋_GB2312" w:cs="宋体"/>
                <w:kern w:val="0"/>
                <w:sz w:val="32"/>
                <w:szCs w:val="32"/>
              </w:rPr>
              <w:t>行政单位</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8" w:type="dxa"/>
            <w:tcBorders>
              <w:top w:val="outset" w:color="auto" w:sz="6" w:space="0"/>
              <w:left w:val="outset" w:color="auto" w:sz="6" w:space="0"/>
              <w:bottom w:val="outset" w:color="auto" w:sz="6" w:space="0"/>
            </w:tcBorders>
            <w:vAlign w:val="center"/>
          </w:tcPr>
          <w:p>
            <w:pPr>
              <w:widowControl/>
              <w:spacing w:line="225" w:lineRule="atLeast"/>
              <w:jc w:val="center"/>
              <w:rPr>
                <w:rFonts w:ascii="仿宋_GB2312" w:eastAsia="仿宋_GB2312" w:cs="宋体"/>
                <w:kern w:val="0"/>
                <w:sz w:val="32"/>
                <w:szCs w:val="32"/>
              </w:rPr>
            </w:pPr>
            <w:r>
              <w:rPr>
                <w:rFonts w:ascii="??" w:eastAsia="Times New Roman"/>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highlight w:val="yellow"/>
              </w:rPr>
            </w:pP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p>
        </w:tc>
        <w:tc>
          <w:tcPr>
            <w:tcW w:w="4268" w:type="dxa"/>
            <w:tcBorders>
              <w:top w:val="outset" w:color="auto" w:sz="6" w:space="0"/>
              <w:left w:val="outset" w:color="auto" w:sz="6" w:space="0"/>
              <w:bottom w:val="outset" w:color="auto" w:sz="6" w:space="0"/>
            </w:tcBorders>
            <w:vAlign w:val="center"/>
          </w:tcPr>
          <w:p>
            <w:pPr>
              <w:widowControl/>
              <w:spacing w:line="225" w:lineRule="atLeast"/>
              <w:jc w:val="center"/>
              <w:rPr>
                <w:rFonts w:ascii="仿宋_GB2312"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highlight w:val="yellow"/>
              </w:rPr>
            </w:pP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p>
        </w:tc>
        <w:tc>
          <w:tcPr>
            <w:tcW w:w="4268" w:type="dxa"/>
            <w:tcBorders>
              <w:top w:val="outset" w:color="auto" w:sz="6" w:space="0"/>
              <w:left w:val="outset" w:color="auto" w:sz="6" w:space="0"/>
              <w:bottom w:val="outset" w:color="auto" w:sz="6" w:space="0"/>
            </w:tcBorders>
            <w:vAlign w:val="center"/>
          </w:tcPr>
          <w:p>
            <w:pPr>
              <w:widowControl/>
              <w:spacing w:line="225" w:lineRule="atLeast"/>
              <w:jc w:val="center"/>
              <w:rPr>
                <w:rFonts w:ascii="仿宋_GB2312" w:eastAsia="仿宋_GB2312" w:cs="宋体"/>
                <w:kern w:val="0"/>
                <w:sz w:val="32"/>
                <w:szCs w:val="32"/>
              </w:rPr>
            </w:pPr>
            <w:r>
              <w:rPr>
                <w:rFonts w:ascii="仿宋_GB2312" w:eastAsia="仿宋_GB2312" w:cs="宋体"/>
                <w:kern w:val="0"/>
                <w:sz w:val="32"/>
                <w:szCs w:val="32"/>
              </w:rPr>
              <w:tab/>
            </w:r>
            <w:r>
              <w:rPr>
                <w:rFonts w:ascii="仿宋_GB2312" w:eastAsia="仿宋_GB2312" w:cs="宋体"/>
                <w:kern w:val="0"/>
                <w:sz w:val="32"/>
                <w:szCs w:val="32"/>
              </w:rPr>
              <w:tab/>
            </w:r>
          </w:p>
        </w:tc>
      </w:tr>
    </w:tbl>
    <w:p>
      <w:pPr>
        <w:widowControl/>
        <w:spacing w:line="360" w:lineRule="atLeast"/>
        <w:jc w:val="left"/>
        <w:rPr>
          <w:rFonts w:ascii="仿宋_GB2312" w:eastAsia="仿宋_GB2312" w:cs="宋体"/>
          <w:color w:val="000000"/>
          <w:kern w:val="0"/>
          <w:sz w:val="32"/>
          <w:szCs w:val="32"/>
        </w:rPr>
      </w:pPr>
      <w:r>
        <w:rPr>
          <w:rFonts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Courier New" w:eastAsia="仿宋_GB2312" w:cs="Courier New"/>
          <w:color w:val="000000"/>
          <w:sz w:val="32"/>
          <w:szCs w:val="32"/>
        </w:rPr>
        <w:t>廊坊市广阳区建设局机关及所属事业单位的收支包含在部门预算中。</w:t>
      </w:r>
    </w:p>
    <w:p>
      <w:pPr>
        <w:widowControl/>
        <w:spacing w:line="360" w:lineRule="atLeast"/>
        <w:ind w:firstLine="643" w:firstLineChars="200"/>
        <w:jc w:val="left"/>
        <w:rPr>
          <w:rFonts w:ascii="仿宋_GB2312" w:eastAsia="仿宋_GB2312" w:cs="宋体"/>
          <w:color w:val="000000"/>
          <w:kern w:val="0"/>
          <w:sz w:val="32"/>
          <w:szCs w:val="32"/>
        </w:rPr>
      </w:pPr>
      <w:r>
        <w:rPr>
          <w:rFonts w:ascii="仿宋_GB2312" w:eastAsia="仿宋_GB2312" w:cs="宋体"/>
          <w:b/>
          <w:bCs/>
          <w:color w:val="000000"/>
          <w:kern w:val="0"/>
          <w:sz w:val="32"/>
          <w:szCs w:val="32"/>
        </w:rPr>
        <w:t>1</w:t>
      </w:r>
      <w:r>
        <w:rPr>
          <w:rFonts w:hint="eastAsia" w:ascii="仿宋_GB2312" w:eastAsia="仿宋_GB2312" w:cs="宋体"/>
          <w:b/>
          <w:bCs/>
          <w:color w:val="000000"/>
          <w:kern w:val="0"/>
          <w:sz w:val="32"/>
          <w:szCs w:val="32"/>
        </w:rPr>
        <w:t>、收入说明</w:t>
      </w:r>
    </w:p>
    <w:p>
      <w:pPr>
        <w:widowControl/>
        <w:spacing w:line="360" w:lineRule="atLeast"/>
        <w:ind w:firstLine="640" w:firstLineChars="200"/>
        <w:jc w:val="left"/>
        <w:rPr>
          <w:rFonts w:ascii="仿宋_GB2312" w:eastAsia="仿宋_GB2312" w:cs="宋体"/>
          <w:bCs/>
          <w:color w:val="000000"/>
          <w:kern w:val="0"/>
          <w:sz w:val="32"/>
          <w:szCs w:val="32"/>
        </w:rPr>
      </w:pPr>
      <w:r>
        <w:rPr>
          <w:rFonts w:hint="eastAsia" w:ascii="仿宋_GB2312" w:hAnsi="Courier New" w:eastAsia="仿宋_GB2312" w:cs="Courier New"/>
          <w:color w:val="000000"/>
          <w:sz w:val="32"/>
          <w:szCs w:val="32"/>
        </w:rPr>
        <w:t>反映本部门当年全部收入。</w:t>
      </w:r>
      <w:r>
        <w:rPr>
          <w:rFonts w:ascii="仿宋_GB2312" w:hAnsi="Courier New" w:eastAsia="仿宋_GB2312" w:cs="Courier New"/>
          <w:color w:val="000000"/>
          <w:sz w:val="32"/>
          <w:szCs w:val="32"/>
        </w:rPr>
        <w:t>2018</w:t>
      </w:r>
      <w:r>
        <w:rPr>
          <w:rFonts w:hint="eastAsia" w:ascii="仿宋_GB2312" w:hAnsi="Courier New" w:eastAsia="仿宋_GB2312" w:cs="Courier New"/>
          <w:color w:val="000000"/>
          <w:sz w:val="32"/>
          <w:szCs w:val="32"/>
        </w:rPr>
        <w:t>年预算收入</w:t>
      </w:r>
      <w:r>
        <w:rPr>
          <w:rFonts w:ascii="仿宋_GB2312" w:hAnsi="Courier New" w:eastAsia="仿宋_GB2312" w:cs="Courier New"/>
          <w:color w:val="000000"/>
          <w:sz w:val="32"/>
          <w:szCs w:val="32"/>
        </w:rPr>
        <w:t>9147.87</w:t>
      </w:r>
      <w:r>
        <w:rPr>
          <w:rFonts w:hint="eastAsia" w:ascii="仿宋_GB2312" w:hAnsi="Courier New" w:eastAsia="仿宋_GB2312" w:cs="Courier New"/>
          <w:color w:val="000000"/>
          <w:sz w:val="32"/>
          <w:szCs w:val="32"/>
        </w:rPr>
        <w:t>万元，其中：一般公共预算收入</w:t>
      </w:r>
      <w:r>
        <w:rPr>
          <w:rFonts w:ascii="仿宋_GB2312" w:hAnsi="Courier New" w:eastAsia="仿宋_GB2312" w:cs="Courier New"/>
          <w:color w:val="000000"/>
          <w:sz w:val="32"/>
          <w:szCs w:val="32"/>
        </w:rPr>
        <w:t>9147.87</w:t>
      </w:r>
      <w:r>
        <w:rPr>
          <w:rFonts w:hint="eastAsia" w:ascii="仿宋_GB2312" w:hAnsi="Courier New" w:eastAsia="仿宋_GB2312" w:cs="Courier New"/>
          <w:color w:val="000000"/>
          <w:sz w:val="32"/>
          <w:szCs w:val="32"/>
        </w:rPr>
        <w:t>万元，基金预算收入</w:t>
      </w:r>
      <w:r>
        <w:rPr>
          <w:rFonts w:ascii="仿宋_GB2312" w:hAnsi="Courier New" w:eastAsia="仿宋_GB2312" w:cs="Courier New"/>
          <w:color w:val="000000"/>
          <w:sz w:val="32"/>
          <w:szCs w:val="32"/>
        </w:rPr>
        <w:t>0</w:t>
      </w:r>
      <w:r>
        <w:rPr>
          <w:rFonts w:hint="eastAsia" w:ascii="仿宋_GB2312" w:hAnsi="Courier New" w:eastAsia="仿宋_GB2312" w:cs="Courier New"/>
          <w:color w:val="000000"/>
          <w:sz w:val="32"/>
          <w:szCs w:val="32"/>
        </w:rPr>
        <w:t>万元，财政专户核拨收入</w:t>
      </w:r>
      <w:r>
        <w:rPr>
          <w:rFonts w:ascii="仿宋_GB2312" w:hAnsi="Courier New" w:eastAsia="仿宋_GB2312" w:cs="Courier New"/>
          <w:color w:val="000000"/>
          <w:sz w:val="32"/>
          <w:szCs w:val="32"/>
        </w:rPr>
        <w:t>0</w:t>
      </w:r>
      <w:r>
        <w:rPr>
          <w:rFonts w:hint="eastAsia" w:ascii="仿宋_GB2312" w:hAnsi="Courier New" w:eastAsia="仿宋_GB2312" w:cs="Courier New"/>
          <w:color w:val="000000"/>
          <w:sz w:val="32"/>
          <w:szCs w:val="32"/>
        </w:rPr>
        <w:t>万元，其他来源收入</w:t>
      </w:r>
      <w:r>
        <w:rPr>
          <w:rFonts w:ascii="仿宋_GB2312" w:hAnsi="Courier New" w:eastAsia="仿宋_GB2312" w:cs="Courier New"/>
          <w:color w:val="000000"/>
          <w:sz w:val="32"/>
          <w:szCs w:val="32"/>
        </w:rPr>
        <w:t>0</w:t>
      </w:r>
      <w:r>
        <w:rPr>
          <w:rFonts w:hint="eastAsia" w:ascii="仿宋_GB2312" w:hAnsi="Courier New" w:eastAsia="仿宋_GB2312" w:cs="Courier New"/>
          <w:color w:val="000000"/>
          <w:sz w:val="32"/>
          <w:szCs w:val="32"/>
        </w:rPr>
        <w:t>万元</w:t>
      </w:r>
    </w:p>
    <w:p>
      <w:pPr>
        <w:widowControl/>
        <w:spacing w:line="360" w:lineRule="atLeast"/>
        <w:ind w:firstLine="643" w:firstLineChars="200"/>
        <w:jc w:val="left"/>
        <w:rPr>
          <w:rFonts w:ascii="仿宋_GB2312" w:eastAsia="仿宋_GB2312" w:cs="宋体"/>
          <w:b/>
          <w:bCs/>
          <w:color w:val="000000"/>
          <w:kern w:val="0"/>
          <w:sz w:val="32"/>
          <w:szCs w:val="32"/>
        </w:rPr>
      </w:pPr>
      <w:r>
        <w:rPr>
          <w:rFonts w:ascii="仿宋_GB2312" w:eastAsia="仿宋_GB2312" w:cs="宋体"/>
          <w:b/>
          <w:bCs/>
          <w:color w:val="000000"/>
          <w:kern w:val="0"/>
          <w:sz w:val="32"/>
          <w:szCs w:val="32"/>
        </w:rPr>
        <w:t>2</w:t>
      </w:r>
      <w:r>
        <w:rPr>
          <w:rFonts w:hint="eastAsia" w:ascii="仿宋_GB2312" w:eastAsia="仿宋_GB2312" w:cs="宋体"/>
          <w:b/>
          <w:bCs/>
          <w:color w:val="000000"/>
          <w:kern w:val="0"/>
          <w:sz w:val="32"/>
          <w:szCs w:val="32"/>
        </w:rPr>
        <w:t>、支出说明</w:t>
      </w:r>
    </w:p>
    <w:p>
      <w:pPr>
        <w:ind w:firstLine="640"/>
        <w:rPr>
          <w:rFonts w:hint="eastAsia" w:ascii="仿宋_GB2312" w:eastAsia="仿宋_GB2312" w:cs="宋体"/>
          <w:kern w:val="0"/>
          <w:sz w:val="32"/>
          <w:szCs w:val="32"/>
          <w:lang w:eastAsia="zh-CN"/>
        </w:rPr>
      </w:pPr>
      <w:r>
        <w:rPr>
          <w:rFonts w:hint="eastAsia" w:ascii="仿宋_GB2312" w:eastAsia="仿宋_GB2312" w:cs="宋体"/>
          <w:kern w:val="0"/>
          <w:sz w:val="32"/>
          <w:szCs w:val="32"/>
        </w:rPr>
        <w:t>收支预算总表支出栏、基本支出表、项目支出表按经济分类和支出功能分类科目编制，反映河北省</w:t>
      </w:r>
      <w:r>
        <w:rPr>
          <w:rFonts w:ascii="仿宋_GB2312" w:eastAsia="仿宋_GB2312" w:cs="宋体"/>
          <w:kern w:val="0"/>
          <w:sz w:val="32"/>
          <w:szCs w:val="32"/>
        </w:rPr>
        <w:t>2018</w:t>
      </w:r>
      <w:r>
        <w:rPr>
          <w:rFonts w:hint="eastAsia" w:ascii="仿宋_GB2312" w:eastAsia="仿宋_GB2312" w:cs="宋体"/>
          <w:kern w:val="0"/>
          <w:sz w:val="32"/>
          <w:szCs w:val="32"/>
        </w:rPr>
        <w:t>年度部门预算中支出预算的总体情况。</w:t>
      </w:r>
      <w:r>
        <w:rPr>
          <w:rFonts w:ascii="仿宋_GB2312" w:eastAsia="仿宋_GB2312" w:cs="宋体"/>
          <w:kern w:val="0"/>
          <w:sz w:val="32"/>
          <w:szCs w:val="32"/>
        </w:rPr>
        <w:t>2018</w:t>
      </w:r>
      <w:r>
        <w:rPr>
          <w:rFonts w:hint="eastAsia" w:ascii="仿宋_GB2312" w:eastAsia="仿宋_GB2312" w:cs="宋体"/>
          <w:kern w:val="0"/>
          <w:sz w:val="32"/>
          <w:szCs w:val="32"/>
        </w:rPr>
        <w:t>年支出预算</w:t>
      </w:r>
      <w:r>
        <w:rPr>
          <w:rFonts w:ascii="仿宋_GB2312" w:eastAsia="仿宋_GB2312" w:cs="宋体"/>
          <w:kern w:val="0"/>
          <w:sz w:val="32"/>
          <w:szCs w:val="32"/>
        </w:rPr>
        <w:t>9147.87</w:t>
      </w:r>
      <w:r>
        <w:rPr>
          <w:rFonts w:hint="eastAsia" w:ascii="仿宋_GB2312" w:eastAsia="仿宋_GB2312" w:cs="宋体"/>
          <w:kern w:val="0"/>
          <w:sz w:val="32"/>
          <w:szCs w:val="32"/>
        </w:rPr>
        <w:t>万元，其中基本支出</w:t>
      </w:r>
      <w:r>
        <w:rPr>
          <w:rFonts w:ascii="仿宋_GB2312" w:eastAsia="仿宋_GB2312" w:cs="宋体"/>
          <w:kern w:val="0"/>
          <w:sz w:val="32"/>
          <w:szCs w:val="32"/>
        </w:rPr>
        <w:t>600.96</w:t>
      </w:r>
      <w:r>
        <w:rPr>
          <w:rFonts w:hint="eastAsia" w:ascii="仿宋_GB2312" w:eastAsia="仿宋_GB2312" w:cs="宋体"/>
          <w:kern w:val="0"/>
          <w:sz w:val="32"/>
          <w:szCs w:val="32"/>
        </w:rPr>
        <w:t>万元，包括人员经费</w:t>
      </w:r>
      <w:r>
        <w:rPr>
          <w:rFonts w:ascii="仿宋_GB2312" w:eastAsia="仿宋_GB2312" w:cs="宋体"/>
          <w:kern w:val="0"/>
          <w:sz w:val="32"/>
          <w:szCs w:val="32"/>
        </w:rPr>
        <w:t>551.87</w:t>
      </w:r>
      <w:r>
        <w:rPr>
          <w:rFonts w:hint="eastAsia" w:ascii="仿宋_GB2312" w:eastAsia="仿宋_GB2312" w:cs="宋体"/>
          <w:kern w:val="0"/>
          <w:sz w:val="32"/>
          <w:szCs w:val="32"/>
        </w:rPr>
        <w:t>万元和日常公用经费</w:t>
      </w:r>
      <w:r>
        <w:rPr>
          <w:rFonts w:ascii="仿宋_GB2312" w:eastAsia="仿宋_GB2312" w:cs="宋体"/>
          <w:kern w:val="0"/>
          <w:sz w:val="32"/>
          <w:szCs w:val="32"/>
        </w:rPr>
        <w:t>49.09</w:t>
      </w:r>
      <w:r>
        <w:rPr>
          <w:rFonts w:hint="eastAsia" w:ascii="仿宋_GB2312" w:eastAsia="仿宋_GB2312" w:cs="宋体"/>
          <w:kern w:val="0"/>
          <w:sz w:val="32"/>
          <w:szCs w:val="32"/>
        </w:rPr>
        <w:t>万元；项目支出</w:t>
      </w:r>
      <w:r>
        <w:rPr>
          <w:rFonts w:ascii="仿宋_GB2312" w:eastAsia="仿宋_GB2312" w:cs="宋体"/>
          <w:kern w:val="0"/>
          <w:sz w:val="32"/>
          <w:szCs w:val="32"/>
        </w:rPr>
        <w:t>8546.91</w:t>
      </w:r>
      <w:r>
        <w:rPr>
          <w:rFonts w:hint="eastAsia" w:ascii="仿宋_GB2312" w:eastAsia="仿宋_GB2312" w:cs="宋体"/>
          <w:kern w:val="0"/>
          <w:sz w:val="32"/>
          <w:szCs w:val="32"/>
        </w:rPr>
        <w:t>万元</w:t>
      </w:r>
      <w:r>
        <w:rPr>
          <w:rFonts w:hint="eastAsia" w:ascii="仿宋_GB2312" w:eastAsia="仿宋_GB2312" w:cs="宋体"/>
          <w:kern w:val="0"/>
          <w:sz w:val="32"/>
          <w:szCs w:val="32"/>
          <w:lang w:eastAsia="zh-CN"/>
        </w:rPr>
        <w:t>，主要为危房改造资金、气代煤经费、小街巷和无物业小区清扫资金、城乡环卫资金、城区清扫资金等。</w:t>
      </w:r>
    </w:p>
    <w:p>
      <w:pPr>
        <w:widowControl/>
        <w:spacing w:line="360" w:lineRule="atLeast"/>
        <w:ind w:firstLine="643" w:firstLineChars="200"/>
        <w:jc w:val="left"/>
        <w:rPr>
          <w:rFonts w:ascii="仿宋_GB2312" w:eastAsia="仿宋_GB2312" w:cs="宋体"/>
          <w:b/>
          <w:bCs/>
          <w:color w:val="000000"/>
          <w:kern w:val="0"/>
          <w:sz w:val="32"/>
          <w:szCs w:val="32"/>
        </w:rPr>
      </w:pPr>
      <w:r>
        <w:rPr>
          <w:rFonts w:ascii="仿宋_GB2312" w:eastAsia="仿宋_GB2312" w:cs="宋体"/>
          <w:b/>
          <w:bCs/>
          <w:color w:val="000000"/>
          <w:kern w:val="0"/>
          <w:sz w:val="32"/>
          <w:szCs w:val="32"/>
        </w:rPr>
        <w:t>3</w:t>
      </w:r>
      <w:r>
        <w:rPr>
          <w:rFonts w:hint="eastAsia" w:ascii="仿宋_GB2312" w:eastAsia="仿宋_GB2312" w:cs="宋体"/>
          <w:b/>
          <w:bCs/>
          <w:color w:val="000000"/>
          <w:kern w:val="0"/>
          <w:sz w:val="32"/>
          <w:szCs w:val="32"/>
        </w:rPr>
        <w:t>、比上年增减情况</w:t>
      </w:r>
    </w:p>
    <w:p>
      <w:pPr>
        <w:widowControl/>
        <w:spacing w:line="360" w:lineRule="atLeast"/>
        <w:ind w:firstLine="640" w:firstLineChars="200"/>
        <w:jc w:val="left"/>
        <w:rPr>
          <w:rFonts w:ascii="黑体" w:eastAsia="黑体" w:cs="宋体"/>
          <w:b/>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9147.87</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8264.45</w:t>
      </w:r>
      <w:r>
        <w:rPr>
          <w:rFonts w:hint="eastAsia" w:ascii="仿宋_GB2312" w:eastAsia="仿宋_GB2312" w:cs="宋体"/>
          <w:color w:val="000000"/>
          <w:kern w:val="0"/>
          <w:sz w:val="32"/>
          <w:szCs w:val="32"/>
        </w:rPr>
        <w:t>万元，其中：基本支出减少</w:t>
      </w:r>
      <w:r>
        <w:rPr>
          <w:rFonts w:ascii="仿宋_GB2312" w:eastAsia="仿宋_GB2312" w:cs="宋体"/>
          <w:color w:val="000000"/>
          <w:kern w:val="0"/>
          <w:sz w:val="32"/>
          <w:szCs w:val="32"/>
        </w:rPr>
        <w:t>225.87</w:t>
      </w:r>
      <w:r>
        <w:rPr>
          <w:rFonts w:hint="eastAsia" w:ascii="仿宋_GB2312" w:eastAsia="仿宋_GB2312" w:cs="宋体"/>
          <w:color w:val="000000"/>
          <w:kern w:val="0"/>
          <w:sz w:val="32"/>
          <w:szCs w:val="32"/>
        </w:rPr>
        <w:t>万元，主要为减少人员经费和日常公用经费支出；项目支出增加</w:t>
      </w:r>
      <w:r>
        <w:rPr>
          <w:rFonts w:ascii="仿宋_GB2312" w:eastAsia="仿宋_GB2312" w:cs="宋体"/>
          <w:color w:val="000000"/>
          <w:kern w:val="0"/>
          <w:sz w:val="32"/>
          <w:szCs w:val="32"/>
        </w:rPr>
        <w:t>8490.32</w:t>
      </w:r>
      <w:r>
        <w:rPr>
          <w:rFonts w:hint="eastAsia" w:ascii="仿宋_GB2312" w:eastAsia="仿宋_GB2312" w:cs="宋体"/>
          <w:color w:val="000000"/>
          <w:kern w:val="0"/>
          <w:sz w:val="32"/>
          <w:szCs w:val="32"/>
        </w:rPr>
        <w:t>万元，主要增加城</w:t>
      </w:r>
      <w:r>
        <w:rPr>
          <w:rFonts w:hint="eastAsia" w:ascii="仿宋_GB2312" w:eastAsia="仿宋_GB2312" w:cs="宋体"/>
          <w:color w:val="000000"/>
          <w:kern w:val="0"/>
          <w:sz w:val="32"/>
          <w:szCs w:val="32"/>
          <w:lang w:eastAsia="zh-CN"/>
        </w:rPr>
        <w:t>区清扫资金、气代煤经费等</w:t>
      </w:r>
      <w:r>
        <w:rPr>
          <w:rFonts w:hint="eastAsia" w:ascii="仿宋_GB2312" w:eastAsia="仿宋_GB2312" w:cs="宋体"/>
          <w:color w:val="000000"/>
          <w:kern w:val="0"/>
          <w:sz w:val="32"/>
          <w:szCs w:val="32"/>
        </w:rPr>
        <w:t>项目支出。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49.09</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1.89</w:t>
      </w:r>
      <w:r>
        <w:rPr>
          <w:rFonts w:hint="eastAsia" w:ascii="仿宋_GB2312" w:eastAsia="仿宋_GB2312" w:cs="宋体"/>
          <w:color w:val="000000"/>
          <w:kern w:val="0"/>
          <w:sz w:val="32"/>
          <w:szCs w:val="32"/>
        </w:rPr>
        <w:t>万元，其他运行经费</w:t>
      </w:r>
      <w:r>
        <w:rPr>
          <w:rFonts w:ascii="仿宋_GB2312" w:eastAsia="仿宋_GB2312" w:cs="宋体"/>
          <w:color w:val="000000"/>
          <w:kern w:val="0"/>
          <w:sz w:val="32"/>
          <w:szCs w:val="32"/>
        </w:rPr>
        <w:t>47.2</w:t>
      </w:r>
      <w:r>
        <w:rPr>
          <w:rFonts w:hint="eastAsia" w:ascii="仿宋_GB2312" w:eastAsia="仿宋_GB2312" w:cs="宋体"/>
          <w:color w:val="000000"/>
          <w:kern w:val="0"/>
          <w:sz w:val="32"/>
          <w:szCs w:val="32"/>
        </w:rPr>
        <w:t>万元。主要用于办公区的日常维修、办公用房水电费、办公用房取暖费、办公用房物业管理费等日常运行支出。</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年增加</w:t>
      </w:r>
      <w:r>
        <w:rPr>
          <w:rFonts w:ascii="仿宋_GB2312" w:eastAsia="仿宋_GB2312" w:cs="宋体"/>
          <w:color w:val="000000"/>
          <w:kern w:val="0"/>
          <w:sz w:val="32"/>
          <w:szCs w:val="32"/>
        </w:rPr>
        <w:t>4.6</w:t>
      </w:r>
      <w:r>
        <w:rPr>
          <w:rFonts w:hint="eastAsia" w:ascii="仿宋_GB2312" w:eastAsia="仿宋_GB2312" w:cs="宋体"/>
          <w:color w:val="000000"/>
          <w:kern w:val="0"/>
          <w:sz w:val="32"/>
          <w:szCs w:val="32"/>
        </w:rPr>
        <w:t>万元，主要原因是增加两辆公务用车运行费。</w:t>
      </w:r>
    </w:p>
    <w:p>
      <w:pPr>
        <w:spacing w:line="500" w:lineRule="exact"/>
        <w:rPr>
          <w:rFonts w:ascii="黑体" w:eastAsia="黑体" w:cs="宋体"/>
          <w:b/>
          <w:bCs/>
          <w:color w:val="000000"/>
          <w:kern w:val="0"/>
          <w:sz w:val="32"/>
          <w:szCs w:val="32"/>
        </w:rPr>
      </w:pPr>
      <w:r>
        <w:rPr>
          <w:rFonts w:hint="eastAsia" w:ascii="黑体" w:eastAsia="黑体" w:cs="宋体"/>
          <w:b/>
          <w:bCs/>
          <w:color w:val="000000"/>
          <w:kern w:val="0"/>
          <w:sz w:val="32"/>
          <w:szCs w:val="32"/>
        </w:rPr>
        <w:t>五、绩效预算信息</w:t>
      </w:r>
    </w:p>
    <w:p>
      <w:pPr>
        <w:spacing w:line="500" w:lineRule="exact"/>
        <w:ind w:firstLine="630" w:firstLineChars="196"/>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总体绩效目标：</w:t>
      </w:r>
    </w:p>
    <w:p>
      <w:pPr>
        <w:spacing w:line="500" w:lineRule="exact"/>
        <w:ind w:firstLine="627" w:firstLineChars="196"/>
        <w:rPr>
          <w:rFonts w:ascii="仿宋_GB2312" w:eastAsia="仿宋_GB2312" w:cs="宋体"/>
          <w:b/>
          <w:bCs/>
          <w:color w:val="000000"/>
          <w:kern w:val="0"/>
          <w:sz w:val="32"/>
          <w:szCs w:val="32"/>
        </w:rPr>
      </w:pPr>
      <w:r>
        <w:rPr>
          <w:rFonts w:hint="eastAsia" w:ascii="仿宋_GB2312" w:eastAsia="仿宋_GB2312" w:cs="宋体"/>
          <w:color w:val="000000"/>
          <w:kern w:val="0"/>
          <w:sz w:val="32"/>
          <w:szCs w:val="32"/>
        </w:rPr>
        <w:t>（一）进一步加强对建筑业的管理，强化安全生产与质量监督。</w:t>
      </w:r>
    </w:p>
    <w:p>
      <w:pPr>
        <w:spacing w:line="500" w:lineRule="exac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（二）继续加大对“气代煤”工程的督导推进力度，确保按照时间节点完成工作任务。</w:t>
      </w:r>
    </w:p>
    <w:p>
      <w:pPr>
        <w:spacing w:line="500" w:lineRule="exac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（三）继续加大城乡环卫整治力度。</w:t>
      </w:r>
    </w:p>
    <w:p>
      <w:pPr>
        <w:spacing w:line="500" w:lineRule="exact"/>
        <w:ind w:firstLine="640" w:firstLineChars="200"/>
        <w:rPr>
          <w:rFonts w:ascii="仿宋_GB2312" w:eastAsia="仿宋_GB2312" w:cs="宋体"/>
          <w:color w:val="000000"/>
          <w:kern w:val="0"/>
          <w:sz w:val="32"/>
          <w:szCs w:val="32"/>
        </w:rPr>
      </w:pPr>
      <w:r>
        <w:rPr>
          <w:rFonts w:hint="eastAsia" w:ascii="仿宋_GB2312" w:eastAsia="仿宋_GB2312" w:cs="宋体"/>
          <w:color w:val="000000"/>
          <w:kern w:val="0"/>
          <w:sz w:val="32"/>
          <w:szCs w:val="32"/>
        </w:rPr>
        <w:t>（四）继续做好农村危房改造工作。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（五）继续做好低收入家庭住房保障工作。</w:t>
      </w:r>
    </w:p>
    <w:p>
      <w:pPr>
        <w:widowControl/>
        <w:spacing w:line="360" w:lineRule="atLeast"/>
        <w:ind w:firstLine="645"/>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职责分类绩效目标：</w:t>
      </w:r>
    </w:p>
    <w:p>
      <w:pPr>
        <w:spacing w:line="500" w:lineRule="exact"/>
        <w:ind w:firstLine="640" w:firstLineChars="200"/>
        <w:rPr>
          <w:rFonts w:ascii="仿宋_GB2312" w:eastAsia="仿宋_GB2312" w:cs="宋体"/>
          <w:color w:val="000000"/>
          <w:kern w:val="0"/>
          <w:sz w:val="32"/>
          <w:szCs w:val="32"/>
        </w:rPr>
      </w:pPr>
      <w:r>
        <w:rPr>
          <w:rFonts w:ascii="仿宋_GB2312" w:eastAsia="仿宋_GB2312" w:cs="宋体"/>
          <w:color w:val="000000"/>
          <w:kern w:val="0"/>
          <w:sz w:val="32"/>
          <w:szCs w:val="32"/>
        </w:rPr>
        <w:t>1</w:t>
      </w:r>
      <w:r>
        <w:rPr>
          <w:rFonts w:hint="eastAsia" w:ascii="仿宋_GB2312" w:eastAsia="仿宋_GB2312" w:cs="宋体"/>
          <w:color w:val="000000"/>
          <w:kern w:val="0"/>
          <w:sz w:val="32"/>
          <w:szCs w:val="32"/>
        </w:rPr>
        <w:t>、负责辖区范围建筑市场管理、稽查工作以及办理工</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程施工许可证；</w:t>
      </w:r>
    </w:p>
    <w:p>
      <w:pPr>
        <w:spacing w:line="500" w:lineRule="exact"/>
        <w:ind w:firstLine="560"/>
        <w:rPr>
          <w:rFonts w:ascii="仿宋_GB2312" w:eastAsia="仿宋_GB2312" w:cs="宋体"/>
          <w:color w:val="000000"/>
          <w:kern w:val="0"/>
          <w:sz w:val="32"/>
          <w:szCs w:val="32"/>
        </w:rPr>
      </w:pPr>
      <w:r>
        <w:rPr>
          <w:rFonts w:ascii="仿宋_GB2312" w:eastAsia="仿宋_GB2312" w:cs="宋体"/>
          <w:color w:val="000000"/>
          <w:kern w:val="0"/>
          <w:sz w:val="32"/>
          <w:szCs w:val="32"/>
        </w:rPr>
        <w:t>2</w:t>
      </w:r>
      <w:r>
        <w:rPr>
          <w:rFonts w:hint="eastAsia" w:ascii="仿宋_GB2312" w:eastAsia="仿宋_GB2312" w:cs="宋体"/>
          <w:color w:val="000000"/>
          <w:kern w:val="0"/>
          <w:sz w:val="32"/>
          <w:szCs w:val="32"/>
        </w:rPr>
        <w:t>、负责辖区范围办理质量监督备案、安全生产监督备</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案的建设工程项目实施监督管理；</w:t>
      </w:r>
    </w:p>
    <w:p>
      <w:pPr>
        <w:spacing w:line="500" w:lineRule="exact"/>
        <w:ind w:firstLine="560"/>
        <w:rPr>
          <w:rFonts w:ascii="仿宋_GB2312" w:eastAsia="仿宋_GB2312" w:cs="宋体"/>
          <w:color w:val="000000"/>
          <w:kern w:val="0"/>
          <w:sz w:val="32"/>
          <w:szCs w:val="32"/>
        </w:rPr>
      </w:pPr>
      <w:r>
        <w:rPr>
          <w:rFonts w:ascii="仿宋_GB2312" w:eastAsia="仿宋_GB2312" w:cs="宋体"/>
          <w:color w:val="000000"/>
          <w:kern w:val="0"/>
          <w:sz w:val="32"/>
          <w:szCs w:val="32"/>
        </w:rPr>
        <w:t>3</w:t>
      </w:r>
      <w:r>
        <w:rPr>
          <w:rFonts w:hint="eastAsia" w:ascii="仿宋_GB2312" w:eastAsia="仿宋_GB2312" w:cs="宋体"/>
          <w:color w:val="000000"/>
          <w:kern w:val="0"/>
          <w:sz w:val="32"/>
          <w:szCs w:val="32"/>
        </w:rPr>
        <w:t>、负责全区村镇建设工作；</w:t>
      </w:r>
    </w:p>
    <w:p>
      <w:pPr>
        <w:spacing w:line="500" w:lineRule="exact"/>
        <w:ind w:firstLine="560"/>
        <w:rPr>
          <w:rFonts w:ascii="仿宋_GB2312" w:eastAsia="仿宋_GB2312" w:cs="宋体"/>
          <w:color w:val="000000"/>
          <w:kern w:val="0"/>
          <w:sz w:val="32"/>
          <w:szCs w:val="32"/>
        </w:rPr>
      </w:pPr>
      <w:r>
        <w:rPr>
          <w:rFonts w:ascii="仿宋_GB2312" w:eastAsia="仿宋_GB2312" w:cs="宋体"/>
          <w:color w:val="000000"/>
          <w:kern w:val="0"/>
          <w:sz w:val="32"/>
          <w:szCs w:val="32"/>
        </w:rPr>
        <w:t>4</w:t>
      </w:r>
      <w:r>
        <w:rPr>
          <w:rFonts w:hint="eastAsia" w:ascii="仿宋_GB2312" w:eastAsia="仿宋_GB2312" w:cs="宋体"/>
          <w:color w:val="000000"/>
          <w:kern w:val="0"/>
          <w:sz w:val="32"/>
          <w:szCs w:val="32"/>
        </w:rPr>
        <w:t>、负责组织广阳区城市棚户区城（旧）改（危陋住宅区）居民调查摸底和登记建档、编制广阳区城市棚户区（危陋住宅区）改造计划和项目实施方案、拆迁成本核算、等项工作；</w:t>
      </w:r>
    </w:p>
    <w:p>
      <w:pPr>
        <w:spacing w:line="500" w:lineRule="exact"/>
        <w:ind w:firstLine="560"/>
        <w:rPr>
          <w:rFonts w:ascii="仿宋_GB2312" w:eastAsia="仿宋_GB2312" w:cs="宋体"/>
          <w:color w:val="000000"/>
          <w:kern w:val="0"/>
          <w:sz w:val="32"/>
          <w:szCs w:val="32"/>
        </w:rPr>
      </w:pPr>
      <w:r>
        <w:rPr>
          <w:rFonts w:ascii="仿宋_GB2312" w:eastAsia="仿宋_GB2312" w:cs="宋体"/>
          <w:color w:val="000000"/>
          <w:kern w:val="0"/>
          <w:sz w:val="32"/>
          <w:szCs w:val="32"/>
        </w:rPr>
        <w:t>5</w:t>
      </w:r>
      <w:r>
        <w:rPr>
          <w:rFonts w:hint="eastAsia" w:ascii="仿宋_GB2312" w:eastAsia="仿宋_GB2312" w:cs="宋体"/>
          <w:color w:val="000000"/>
          <w:kern w:val="0"/>
          <w:sz w:val="32"/>
          <w:szCs w:val="32"/>
        </w:rPr>
        <w:t>、组织开展全区人民防空宣传教育，负责全区的防空规划；</w:t>
      </w:r>
    </w:p>
    <w:p>
      <w:pPr>
        <w:spacing w:line="500" w:lineRule="exact"/>
        <w:ind w:firstLine="560"/>
        <w:rPr>
          <w:rFonts w:ascii="仿宋_GB2312" w:eastAsia="仿宋_GB2312" w:cs="宋体"/>
          <w:color w:val="000000"/>
          <w:kern w:val="0"/>
          <w:sz w:val="32"/>
          <w:szCs w:val="32"/>
        </w:rPr>
      </w:pPr>
      <w:r>
        <w:rPr>
          <w:rFonts w:ascii="仿宋_GB2312" w:eastAsia="仿宋_GB2312" w:cs="宋体"/>
          <w:color w:val="000000"/>
          <w:kern w:val="0"/>
          <w:sz w:val="32"/>
          <w:szCs w:val="32"/>
        </w:rPr>
        <w:t>6</w:t>
      </w:r>
      <w:r>
        <w:rPr>
          <w:rFonts w:hint="eastAsia" w:ascii="仿宋_GB2312" w:eastAsia="仿宋_GB2312" w:cs="宋体"/>
          <w:color w:val="000000"/>
          <w:kern w:val="0"/>
          <w:sz w:val="32"/>
          <w:szCs w:val="32"/>
        </w:rPr>
        <w:t>、负责广阳区住房保障工作、广阳区危旧房屋管理工作、做好广阳区供暖服务、做好已售直管公房的公共部位和公共设施的维修管理工作；</w:t>
      </w:r>
    </w:p>
    <w:p>
      <w:pPr>
        <w:widowControl/>
        <w:spacing w:line="360" w:lineRule="atLeast"/>
        <w:ind w:firstLine="645"/>
        <w:jc w:val="left"/>
        <w:rPr>
          <w:rFonts w:ascii="仿宋_GB2312" w:eastAsia="仿宋_GB2312" w:cs="宋体"/>
          <w:color w:val="000000"/>
          <w:kern w:val="0"/>
          <w:sz w:val="32"/>
          <w:szCs w:val="32"/>
        </w:rPr>
      </w:pP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、做好区政府交办的其它工作。</w:t>
      </w:r>
    </w:p>
    <w:p>
      <w:pPr>
        <w:widowControl/>
        <w:spacing w:line="360" w:lineRule="atLeast"/>
        <w:ind w:firstLine="645"/>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部门职责</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工作活动绩效目标</w:t>
      </w:r>
    </w:p>
    <w:tbl>
      <w:tblPr>
        <w:tblStyle w:val="4"/>
        <w:tblW w:w="1193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78"/>
        <w:gridCol w:w="1672"/>
        <w:gridCol w:w="1672"/>
        <w:gridCol w:w="1672"/>
        <w:gridCol w:w="1672"/>
        <w:gridCol w:w="893"/>
        <w:gridCol w:w="893"/>
        <w:gridCol w:w="893"/>
        <w:gridCol w:w="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8366" w:type="dxa"/>
            <w:gridSpan w:val="5"/>
            <w:tcBorders>
              <w:top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ascii="仿宋_GB2312" w:eastAsia="仿宋_GB2312" w:cs="宋体"/>
                <w:b/>
                <w:bCs/>
                <w:kern w:val="0"/>
                <w:sz w:val="28"/>
                <w:szCs w:val="28"/>
              </w:rPr>
              <w:t>601</w:t>
            </w:r>
            <w:r>
              <w:rPr>
                <w:rFonts w:hint="eastAsia" w:ascii="仿宋_GB2312" w:eastAsia="仿宋_GB2312" w:cs="宋体"/>
                <w:b/>
                <w:bCs/>
                <w:kern w:val="0"/>
                <w:sz w:val="28"/>
                <w:szCs w:val="28"/>
              </w:rPr>
              <w:t>廊坊市广阳区建设局</w:t>
            </w:r>
          </w:p>
        </w:tc>
        <w:tc>
          <w:tcPr>
            <w:tcW w:w="3572" w:type="dxa"/>
            <w:gridSpan w:val="4"/>
            <w:tcBorders>
              <w:top w:val="outset" w:color="auto" w:sz="6" w:space="0"/>
              <w:left w:val="outset" w:color="auto" w:sz="6" w:space="0"/>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678" w:type="dxa"/>
            <w:vMerge w:val="restart"/>
            <w:tcBorders>
              <w:top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67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167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167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67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572" w:type="dxa"/>
            <w:gridSpan w:val="4"/>
            <w:tcBorders>
              <w:top w:val="outset" w:color="auto" w:sz="6" w:space="0"/>
              <w:left w:val="outset" w:color="auto" w:sz="6" w:space="0"/>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678" w:type="dxa"/>
            <w:vMerge w:val="continue"/>
            <w:tcBorders>
              <w:top w:val="outset" w:color="auto" w:sz="6" w:space="0"/>
              <w:bottom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top w:val="outset" w:color="auto" w:sz="6" w:space="0"/>
              <w:left w:val="outset" w:color="auto" w:sz="6" w:space="0"/>
              <w:bottom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top w:val="outset" w:color="auto" w:sz="6" w:space="0"/>
              <w:left w:val="outset" w:color="auto" w:sz="6" w:space="0"/>
              <w:bottom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top w:val="outset" w:color="auto" w:sz="6" w:space="0"/>
              <w:left w:val="outset" w:color="auto" w:sz="6" w:space="0"/>
              <w:bottom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top w:val="outset" w:color="auto" w:sz="6" w:space="0"/>
              <w:left w:val="outset" w:color="auto" w:sz="6" w:space="0"/>
              <w:bottom w:val="outset" w:color="auto" w:sz="6" w:space="0"/>
              <w:right w:val="outset" w:color="auto" w:sz="6" w:space="0"/>
            </w:tcBorders>
            <w:vAlign w:val="center"/>
          </w:tcPr>
          <w:p>
            <w:pPr>
              <w:rPr>
                <w:rFonts w:ascii="仿宋_GB2312" w:eastAsia="仿宋_GB2312"/>
                <w:sz w:val="28"/>
                <w:szCs w:val="28"/>
              </w:rPr>
            </w:pPr>
          </w:p>
        </w:tc>
        <w:tc>
          <w:tcPr>
            <w:tcW w:w="8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93" w:type="dxa"/>
            <w:tcBorders>
              <w:top w:val="outset" w:color="auto" w:sz="6" w:space="0"/>
              <w:left w:val="outset" w:color="auto" w:sz="6" w:space="0"/>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78" w:type="dxa"/>
            <w:tcBorders>
              <w:top w:val="outset" w:color="auto" w:sz="6" w:space="0"/>
              <w:bottom w:val="outset" w:color="auto" w:sz="6" w:space="0"/>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一、住房保障及公积金管理</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ascii="仿宋_GB2312" w:eastAsia="仿宋_GB2312"/>
                <w:sz w:val="28"/>
                <w:szCs w:val="28"/>
              </w:rPr>
              <w:t>28.00</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指导实施住房保障政策；承办城镇保障性安居工程资金安排有关事项；组织编制住房保障建设发展规划和年度计划并组织实施；负责住房制度改革；监督住房公积金和其他住房资金的管理。</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建立城镇住房保障体系，稳妥推进住房制度改革，按照国家要求达到城镇住房保障工作目标，确保住房公积金的有效使用。</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893"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bottom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0" w:hRule="atLeast"/>
          <w:tblCellSpacing w:w="0" w:type="dxa"/>
          <w:jc w:val="center"/>
        </w:trPr>
        <w:tc>
          <w:tcPr>
            <w:tcW w:w="1678" w:type="dxa"/>
            <w:vMerge w:val="restart"/>
            <w:tcBorders>
              <w:top w:val="outset" w:color="auto" w:sz="6" w:space="0"/>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　　</w:t>
            </w:r>
            <w:r>
              <w:rPr>
                <w:rFonts w:ascii="仿宋_GB2312" w:eastAsia="仿宋_GB2312"/>
                <w:b/>
                <w:sz w:val="28"/>
                <w:szCs w:val="28"/>
              </w:rPr>
              <w:t>1</w:t>
            </w:r>
            <w:r>
              <w:rPr>
                <w:rFonts w:hint="eastAsia" w:ascii="仿宋_GB2312" w:eastAsia="仿宋_GB2312"/>
                <w:b/>
                <w:sz w:val="28"/>
                <w:szCs w:val="28"/>
              </w:rPr>
              <w:t>、保障性安居工程建设管理</w:t>
            </w:r>
          </w:p>
        </w:tc>
        <w:tc>
          <w:tcPr>
            <w:tcW w:w="1672" w:type="dxa"/>
            <w:vMerge w:val="restart"/>
            <w:tcBorders>
              <w:top w:val="outset" w:color="auto" w:sz="6" w:space="0"/>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ascii="仿宋_GB2312" w:eastAsia="仿宋_GB2312"/>
                <w:sz w:val="28"/>
                <w:szCs w:val="28"/>
              </w:rPr>
              <w:t>28.00</w:t>
            </w:r>
          </w:p>
        </w:tc>
        <w:tc>
          <w:tcPr>
            <w:tcW w:w="1672" w:type="dxa"/>
            <w:vMerge w:val="restart"/>
            <w:tcBorders>
              <w:top w:val="outset" w:color="auto" w:sz="6" w:space="0"/>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研究制定保障性安居工程建设规划，拟定年度建设目标并监督实施；承担区保障性安居工程领导小组办公室职责；研究拟定保障性安居工程政策并监督实施，对项目分配、管理和运营情况监督指导；组织实施区保障房建设和管理。</w:t>
            </w:r>
          </w:p>
        </w:tc>
        <w:tc>
          <w:tcPr>
            <w:tcW w:w="1672" w:type="dxa"/>
            <w:vMerge w:val="restart"/>
            <w:tcBorders>
              <w:top w:val="outset" w:color="auto" w:sz="6" w:space="0"/>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完成上级确定的城镇保障性安居工程年度建设任务，建立健全公平、公正、公开的分配机制和优质、高效管理服务机制，保障性住房及时分配到位。及时出台政策；妥善处理房改遗留问题，避免产生新的社会矛盾</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保障性住房分配入住率</w:t>
            </w:r>
          </w:p>
        </w:tc>
        <w:tc>
          <w:tcPr>
            <w:tcW w:w="893" w:type="dxa"/>
            <w:tcBorders>
              <w:top w:val="outset" w:color="auto" w:sz="6" w:space="0"/>
              <w:lef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0" w:hRule="atLeast"/>
          <w:tblCellSpacing w:w="0" w:type="dxa"/>
          <w:jc w:val="center"/>
        </w:trPr>
        <w:tc>
          <w:tcPr>
            <w:tcW w:w="1678" w:type="dxa"/>
            <w:vMerge w:val="continue"/>
            <w:tcBorders>
              <w:right w:val="outset" w:color="auto" w:sz="6" w:space="0"/>
            </w:tcBorders>
            <w:vAlign w:val="center"/>
          </w:tcPr>
          <w:p>
            <w:pPr>
              <w:spacing w:line="300" w:lineRule="exact"/>
              <w:jc w:val="left"/>
              <w:rPr>
                <w:rFonts w:ascii="仿宋_GB2312" w:eastAsia="仿宋_GB2312"/>
                <w:b/>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保障性住房竣工率</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0" w:hRule="atLeast"/>
          <w:tblCellSpacing w:w="0" w:type="dxa"/>
          <w:jc w:val="center"/>
        </w:trPr>
        <w:tc>
          <w:tcPr>
            <w:tcW w:w="1678" w:type="dxa"/>
            <w:vMerge w:val="continue"/>
            <w:tcBorders>
              <w:bottom w:val="outset" w:color="auto" w:sz="6" w:space="0"/>
              <w:right w:val="outset" w:color="auto" w:sz="6" w:space="0"/>
            </w:tcBorders>
            <w:vAlign w:val="center"/>
          </w:tcPr>
          <w:p>
            <w:pPr>
              <w:spacing w:line="300" w:lineRule="exact"/>
              <w:jc w:val="left"/>
              <w:rPr>
                <w:rFonts w:ascii="仿宋_GB2312" w:eastAsia="仿宋_GB2312"/>
                <w:b/>
                <w:sz w:val="28"/>
                <w:szCs w:val="28"/>
              </w:rPr>
            </w:pPr>
          </w:p>
        </w:tc>
        <w:tc>
          <w:tcPr>
            <w:tcW w:w="1672" w:type="dxa"/>
            <w:vMerge w:val="continue"/>
            <w:tcBorders>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保障性住房开工率</w:t>
            </w:r>
          </w:p>
        </w:tc>
        <w:tc>
          <w:tcPr>
            <w:tcW w:w="893" w:type="dxa"/>
            <w:tcBorders>
              <w:left w:val="outset" w:color="auto" w:sz="6" w:space="0"/>
              <w:bottom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bottom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bottom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bottom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78" w:type="dxa"/>
            <w:tcBorders>
              <w:top w:val="outset" w:color="auto" w:sz="6" w:space="0"/>
              <w:bottom w:val="outset" w:color="auto" w:sz="6" w:space="0"/>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二、城乡规划</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制定城乡规划技术管理标准和导则。组织城镇体系规划等层面规划编制，组织参与层面规划编制，督导各地依法编制总体规划、专项规划、控制性详细规划、历史文化名城和街区保护规划等。对由政府审批的规划进行监督实施。</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加强城乡规划管理，协调城乡空间布局，改善人居环境，促进城乡经济社会全面协调可持续发展。</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893"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bottom w:val="outset" w:color="auto" w:sz="6" w:space="0"/>
              <w:righ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bottom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9" w:hRule="atLeast"/>
          <w:tblCellSpacing w:w="0" w:type="dxa"/>
          <w:jc w:val="center"/>
        </w:trPr>
        <w:tc>
          <w:tcPr>
            <w:tcW w:w="1678" w:type="dxa"/>
            <w:vMerge w:val="restart"/>
            <w:tcBorders>
              <w:top w:val="outset" w:color="auto" w:sz="6" w:space="0"/>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　　</w:t>
            </w:r>
            <w:r>
              <w:rPr>
                <w:rFonts w:ascii="仿宋_GB2312" w:eastAsia="仿宋_GB2312"/>
                <w:b/>
                <w:sz w:val="28"/>
                <w:szCs w:val="28"/>
              </w:rPr>
              <w:t>1</w:t>
            </w:r>
            <w:r>
              <w:rPr>
                <w:rFonts w:hint="eastAsia" w:ascii="仿宋_GB2312" w:eastAsia="仿宋_GB2312"/>
                <w:b/>
                <w:sz w:val="28"/>
                <w:szCs w:val="28"/>
              </w:rPr>
              <w:t>、城乡规划制订、实施与监督</w:t>
            </w:r>
          </w:p>
        </w:tc>
        <w:tc>
          <w:tcPr>
            <w:tcW w:w="1672" w:type="dxa"/>
            <w:vMerge w:val="restart"/>
            <w:tcBorders>
              <w:top w:val="outset" w:color="auto" w:sz="6" w:space="0"/>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restart"/>
            <w:tcBorders>
              <w:top w:val="outset" w:color="auto" w:sz="6" w:space="0"/>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拟定全区城乡规划管理政策，制定城乡规划技术管理标准和导则；组织区域城镇体系规划等区级层面规划编制，依法编制总体规划、专项规划、控制性详细规划、历史文化名城和街区保护等专项规划。审查、督导依法编制城乡规划；加强和改进规划管理技术手段，对依法批准的城乡规划进行监督实施。</w:t>
            </w:r>
          </w:p>
        </w:tc>
        <w:tc>
          <w:tcPr>
            <w:tcW w:w="1672" w:type="dxa"/>
            <w:vMerge w:val="restart"/>
            <w:tcBorders>
              <w:top w:val="outset" w:color="auto" w:sz="6" w:space="0"/>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完成本级规划编制，健全规划体系</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动态监测报告完成率</w:t>
            </w:r>
          </w:p>
        </w:tc>
        <w:tc>
          <w:tcPr>
            <w:tcW w:w="893" w:type="dxa"/>
            <w:tcBorders>
              <w:top w:val="outset" w:color="auto" w:sz="6" w:space="0"/>
              <w:lef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tcBorders>
            <w:vAlign w:val="center"/>
          </w:tcPr>
          <w:p>
            <w:pPr>
              <w:spacing w:line="300" w:lineRule="exact"/>
              <w:jc w:val="center"/>
              <w:rPr>
                <w:rFonts w:ascii="仿宋_GB2312" w:eastAsia="仿宋_GB2312"/>
                <w:sz w:val="28"/>
                <w:szCs w:val="28"/>
              </w:rPr>
            </w:pPr>
          </w:p>
        </w:tc>
        <w:tc>
          <w:tcPr>
            <w:tcW w:w="893" w:type="dxa"/>
            <w:tcBorders>
              <w:top w:val="outset" w:color="auto" w:sz="6" w:space="0"/>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 w:val="28"/>
                <w:szCs w:val="28"/>
              </w:rPr>
            </w:pPr>
            <w:r>
              <w:rPr>
                <w:rFonts w:hint="eastAsia" w:ascii="仿宋_GB2312" w:eastAsia="仿宋_GB2312"/>
                <w:sz w:val="28"/>
                <w:szCs w:val="28"/>
              </w:rPr>
              <w:t>数字规划建设覆盖率</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 w:val="28"/>
                <w:szCs w:val="28"/>
              </w:rPr>
            </w:pPr>
            <w:r>
              <w:rPr>
                <w:rFonts w:hint="eastAsia" w:ascii="仿宋_GB2312" w:eastAsia="仿宋_GB2312"/>
                <w:sz w:val="28"/>
                <w:szCs w:val="28"/>
              </w:rPr>
              <w:t>规划完成率</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宋体" w:eastAsia="仿宋_GB2312" w:cs="宋体"/>
                <w:kern w:val="0"/>
                <w:sz w:val="28"/>
                <w:szCs w:val="28"/>
              </w:rPr>
            </w:pPr>
            <w:r>
              <w:rPr>
                <w:rFonts w:hint="eastAsia" w:ascii="仿宋_GB2312" w:eastAsia="仿宋_GB2312"/>
                <w:sz w:val="28"/>
                <w:szCs w:val="28"/>
              </w:rPr>
              <w:t>规划审批率</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 w:hRule="atLeast"/>
          <w:tblCellSpacing w:w="0" w:type="dxa"/>
          <w:jc w:val="center"/>
        </w:trPr>
        <w:tc>
          <w:tcPr>
            <w:tcW w:w="1678" w:type="dxa"/>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三、城乡建设管理</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指导城市市政公用设施建设、安全和应急管理；拟定风景名胜区的发展规划、政策并指导实施；拟定村庄和小城镇建设政策并指导实施；指导镇、乡村庄规划的编制和实施；指导农村住房建设、住房安全和危房改造；改善小城镇和村庄人居环境；指导做好国家级重点镇及市级重点镇的建设。</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加强管理，提高城市承载能力和宜居度。加强村镇建设，改善农村人居环境，实现城乡统筹发展。协调和指导推进城镇化工作，加快城镇化进程。指导城市建设投融资体制改革，破解融资难题。</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1678" w:type="dxa"/>
            <w:vMerge w:val="restart"/>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　　</w:t>
            </w:r>
            <w:r>
              <w:rPr>
                <w:rFonts w:ascii="仿宋_GB2312" w:eastAsia="仿宋_GB2312"/>
                <w:b/>
                <w:sz w:val="28"/>
                <w:szCs w:val="28"/>
              </w:rPr>
              <w:t>1</w:t>
            </w:r>
            <w:r>
              <w:rPr>
                <w:rFonts w:hint="eastAsia" w:ascii="仿宋_GB2312" w:eastAsia="仿宋_GB2312"/>
                <w:b/>
                <w:sz w:val="28"/>
                <w:szCs w:val="28"/>
              </w:rPr>
              <w:t>、市政公用设施建设与管理</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指导城市供水、节水、燃气、热力、市政设施、园林、污水处理、垃圾处理等设施建设，指导城市规划区的绿化和生物多样性工作；指导全区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承担国家级、市级风景名胜区、世界自然遗产和世界自然文化双重遗产项目的有关工作。</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指导加强基础设施建设</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供热计量收费率</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园林城创建数量</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基础设施建设工作目标完成量</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9" w:hRule="atLeast"/>
          <w:tblCellSpacing w:w="0" w:type="dxa"/>
          <w:jc w:val="center"/>
        </w:trPr>
        <w:tc>
          <w:tcPr>
            <w:tcW w:w="1678" w:type="dxa"/>
            <w:vMerge w:val="restart"/>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　　</w:t>
            </w:r>
            <w:r>
              <w:rPr>
                <w:rFonts w:ascii="仿宋_GB2312" w:eastAsia="仿宋_GB2312"/>
                <w:b/>
                <w:sz w:val="28"/>
                <w:szCs w:val="28"/>
              </w:rPr>
              <w:t>2</w:t>
            </w:r>
            <w:r>
              <w:rPr>
                <w:rFonts w:hint="eastAsia" w:ascii="仿宋_GB2312" w:eastAsia="仿宋_GB2312"/>
                <w:b/>
                <w:sz w:val="28"/>
                <w:szCs w:val="28"/>
              </w:rPr>
              <w:t>、推进城镇化建设</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指导推进城区新区建设与旧城改造，推进小城镇和集镇人居环境改善，指导国家级重点镇及省级重点镇的建设；做好城区规划、环境质量、居住水平、产业聚集、风貌特色、综合管理、城建投融资等指导工作，加快城市建设投融资体制改革，全面推进城区建设上水平；协调和指导推进城镇化工作。</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加强村镇建设，改善农村人居环境，实现城乡统筹发展</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县城建设工作考核完成率</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无物业老旧小区改造完成率</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r>
              <w:rPr>
                <w:rFonts w:ascii="仿宋_GB2312" w:eastAsia="仿宋_GB2312"/>
                <w:sz w:val="28"/>
                <w:szCs w:val="28"/>
              </w:rPr>
              <w:t>90.00%</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r>
              <w:rPr>
                <w:rFonts w:ascii="仿宋_GB2312" w:eastAsia="仿宋_GB2312"/>
                <w:sz w:val="28"/>
                <w:szCs w:val="28"/>
              </w:rPr>
              <w:t>80.00%</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r>
              <w:rPr>
                <w:rFonts w:ascii="仿宋_GB2312" w:eastAsia="仿宋_GB2312"/>
                <w:sz w:val="28"/>
                <w:szCs w:val="28"/>
              </w:rPr>
              <w:t>70.00%</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r>
              <w:rPr>
                <w:rFonts w:ascii="仿宋_GB2312" w:eastAsia="仿宋_GB2312"/>
                <w:sz w:val="28"/>
                <w:szCs w:val="28"/>
              </w:rPr>
              <w:t>60.00%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危房改造完成率</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r>
              <w:rPr>
                <w:rFonts w:ascii="仿宋_GB2312" w:eastAsia="仿宋_GB2312"/>
                <w:sz w:val="28"/>
                <w:szCs w:val="28"/>
              </w:rPr>
              <w:t>95%</w:t>
            </w:r>
            <w:r>
              <w:rPr>
                <w:rFonts w:hint="eastAsia" w:ascii="仿宋_GB2312" w:eastAsia="仿宋_GB2312"/>
                <w:sz w:val="28"/>
                <w:szCs w:val="28"/>
              </w:rPr>
              <w:t>以上</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r>
              <w:rPr>
                <w:rFonts w:ascii="仿宋_GB2312" w:eastAsia="仿宋_GB2312"/>
                <w:sz w:val="28"/>
                <w:szCs w:val="28"/>
              </w:rPr>
              <w:t>85%—95%</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r>
              <w:rPr>
                <w:rFonts w:ascii="仿宋_GB2312" w:eastAsia="仿宋_GB2312"/>
                <w:sz w:val="28"/>
                <w:szCs w:val="28"/>
              </w:rPr>
              <w:t>70%—85%</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r>
              <w:rPr>
                <w:rFonts w:ascii="仿宋_GB2312" w:eastAsia="仿宋_GB2312"/>
                <w:sz w:val="28"/>
                <w:szCs w:val="28"/>
              </w:rPr>
              <w:t>70%</w:t>
            </w:r>
            <w:r>
              <w:rPr>
                <w:rFonts w:hint="eastAsia" w:ascii="仿宋_GB2312" w:eastAsia="仿宋_GB2312"/>
                <w:sz w:val="28"/>
                <w:szCs w:val="28"/>
              </w:rPr>
              <w:t>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垃圾处理率</w:t>
            </w: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c>
          <w:tcPr>
            <w:tcW w:w="893" w:type="dxa"/>
            <w:tcBorders>
              <w:left w:val="outset" w:color="auto" w:sz="6" w:space="0"/>
            </w:tcBorders>
            <w:vAlign w:val="center"/>
          </w:tcPr>
          <w:p>
            <w:pPr>
              <w:widowControl/>
              <w:jc w:val="left"/>
              <w:rPr>
                <w:rFonts w:ascii="仿宋_GB2312" w:hAnsi="宋体" w:eastAsia="仿宋_GB2312" w:cs="宋体"/>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7" w:hRule="atLeast"/>
          <w:tblCellSpacing w:w="0" w:type="dxa"/>
          <w:jc w:val="center"/>
        </w:trPr>
        <w:tc>
          <w:tcPr>
            <w:tcW w:w="1678" w:type="dxa"/>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四、建筑业、房地产市场监管</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指导、规范建筑市场、工程造价管理及建筑工程招投标管理，拟订工程建设、建筑业行业发展政策、规章制度并监督执行，拟订工程建设计价依据和管理制度</w:t>
            </w:r>
            <w:r>
              <w:rPr>
                <w:rFonts w:ascii="仿宋_GB2312" w:eastAsia="仿宋_GB2312"/>
                <w:sz w:val="28"/>
                <w:szCs w:val="28"/>
              </w:rPr>
              <w:t>;</w:t>
            </w:r>
            <w:r>
              <w:rPr>
                <w:rFonts w:hint="eastAsia" w:ascii="仿宋_GB2312" w:eastAsia="仿宋_GB2312"/>
                <w:sz w:val="28"/>
                <w:szCs w:val="28"/>
              </w:rPr>
              <w:t>拟订房地产市场监管政策并监督执行，制订房地产开发、房屋租赁、房屋面积管理、房地产估价与经纪管理、物业管理的规章制度并监督执行。</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规范建筑市场各方主体行为，促进建筑市场健康发展。提高建筑工程质量，减少建筑安全生产事故，提高行业水平。加强市场监测，促进全区房地产市场持续健康发展。</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1678" w:type="dxa"/>
            <w:vMerge w:val="restart"/>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　　</w:t>
            </w:r>
            <w:r>
              <w:rPr>
                <w:rFonts w:ascii="仿宋_GB2312" w:eastAsia="仿宋_GB2312"/>
                <w:b/>
                <w:sz w:val="28"/>
                <w:szCs w:val="28"/>
              </w:rPr>
              <w:t>1</w:t>
            </w:r>
            <w:r>
              <w:rPr>
                <w:rFonts w:hint="eastAsia" w:ascii="仿宋_GB2312" w:eastAsia="仿宋_GB2312"/>
                <w:b/>
                <w:sz w:val="28"/>
                <w:szCs w:val="28"/>
              </w:rPr>
              <w:t>、全区建筑业管理</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拟定全区工程建设、建筑业发展政策、规章制度并监督执行，规范建筑市场各方主体行为。</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规范建筑市场各方主体行为，促进建筑市场健康发展</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合同履约跟踪管理覆盖率</w:t>
            </w:r>
          </w:p>
        </w:tc>
        <w:tc>
          <w:tcPr>
            <w:tcW w:w="893" w:type="dxa"/>
            <w:tcBorders>
              <w:left w:val="outset" w:color="auto" w:sz="6" w:space="0"/>
            </w:tcBorders>
            <w:vAlign w:val="center"/>
          </w:tcPr>
          <w:p>
            <w:pPr>
              <w:spacing w:line="300" w:lineRule="exact"/>
              <w:jc w:val="center"/>
              <w:rPr>
                <w:rFonts w:ascii="仿宋_GB2312" w:eastAsia="仿宋_GB2312"/>
                <w:sz w:val="28"/>
                <w:szCs w:val="28"/>
              </w:rPr>
            </w:pPr>
            <w:r>
              <w:rPr>
                <w:rFonts w:ascii="仿宋_GB2312" w:eastAsia="仿宋_GB2312"/>
                <w:sz w:val="28"/>
                <w:szCs w:val="28"/>
              </w:rPr>
              <w:t>95.00%</w:t>
            </w:r>
          </w:p>
        </w:tc>
        <w:tc>
          <w:tcPr>
            <w:tcW w:w="893" w:type="dxa"/>
            <w:tcBorders>
              <w:left w:val="outset" w:color="auto" w:sz="6" w:space="0"/>
            </w:tcBorders>
            <w:vAlign w:val="center"/>
          </w:tcPr>
          <w:p>
            <w:pPr>
              <w:spacing w:line="300" w:lineRule="exact"/>
              <w:jc w:val="center"/>
              <w:rPr>
                <w:rFonts w:ascii="仿宋_GB2312" w:eastAsia="仿宋_GB2312"/>
                <w:sz w:val="28"/>
                <w:szCs w:val="28"/>
              </w:rPr>
            </w:pPr>
            <w:r>
              <w:rPr>
                <w:rFonts w:ascii="仿宋_GB2312" w:eastAsia="仿宋_GB2312"/>
                <w:sz w:val="28"/>
                <w:szCs w:val="28"/>
              </w:rPr>
              <w:t>85%—95%</w:t>
            </w:r>
          </w:p>
        </w:tc>
        <w:tc>
          <w:tcPr>
            <w:tcW w:w="893" w:type="dxa"/>
            <w:tcBorders>
              <w:left w:val="outset" w:color="auto" w:sz="6" w:space="0"/>
            </w:tcBorders>
            <w:vAlign w:val="center"/>
          </w:tcPr>
          <w:p>
            <w:pPr>
              <w:spacing w:line="300" w:lineRule="exact"/>
              <w:jc w:val="center"/>
              <w:rPr>
                <w:rFonts w:ascii="仿宋_GB2312" w:eastAsia="仿宋_GB2312"/>
                <w:sz w:val="28"/>
                <w:szCs w:val="28"/>
              </w:rPr>
            </w:pPr>
            <w:r>
              <w:rPr>
                <w:rFonts w:ascii="仿宋_GB2312" w:eastAsia="仿宋_GB2312"/>
                <w:sz w:val="28"/>
                <w:szCs w:val="28"/>
              </w:rPr>
              <w:t>75%—85%</w:t>
            </w:r>
          </w:p>
        </w:tc>
        <w:tc>
          <w:tcPr>
            <w:tcW w:w="893" w:type="dxa"/>
            <w:tcBorders>
              <w:left w:val="outset" w:color="auto" w:sz="6" w:space="0"/>
            </w:tcBorders>
            <w:vAlign w:val="center"/>
          </w:tcPr>
          <w:p>
            <w:pPr>
              <w:spacing w:line="300" w:lineRule="exact"/>
              <w:jc w:val="center"/>
              <w:rPr>
                <w:rFonts w:ascii="仿宋_GB2312" w:eastAsia="仿宋_GB2312"/>
                <w:sz w:val="28"/>
                <w:szCs w:val="28"/>
              </w:rPr>
            </w:pPr>
            <w:r>
              <w:rPr>
                <w:rFonts w:ascii="仿宋_GB2312" w:eastAsia="仿宋_GB2312"/>
                <w:sz w:val="28"/>
                <w:szCs w:val="28"/>
              </w:rPr>
              <w:t>75%</w:t>
            </w:r>
            <w:r>
              <w:rPr>
                <w:rFonts w:hint="eastAsia" w:ascii="仿宋_GB2312" w:eastAsia="仿宋_GB2312"/>
                <w:sz w:val="28"/>
                <w:szCs w:val="28"/>
              </w:rPr>
              <w:t>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计价依据编制完成率</w:t>
            </w:r>
          </w:p>
        </w:tc>
        <w:tc>
          <w:tcPr>
            <w:tcW w:w="893" w:type="dxa"/>
            <w:tcBorders>
              <w:left w:val="outset" w:color="auto" w:sz="6" w:space="0"/>
            </w:tcBorders>
            <w:vAlign w:val="center"/>
          </w:tcPr>
          <w:p>
            <w:pPr>
              <w:widowControl/>
              <w:jc w:val="left"/>
              <w:rPr>
                <w:rFonts w:ascii="仿宋_GB2312" w:eastAsia="仿宋_GB2312"/>
                <w:sz w:val="28"/>
                <w:szCs w:val="28"/>
              </w:rPr>
            </w:pPr>
          </w:p>
        </w:tc>
        <w:tc>
          <w:tcPr>
            <w:tcW w:w="893" w:type="dxa"/>
            <w:tcBorders>
              <w:left w:val="outset" w:color="auto" w:sz="6" w:space="0"/>
            </w:tcBorders>
            <w:vAlign w:val="center"/>
          </w:tcPr>
          <w:p>
            <w:pPr>
              <w:widowControl/>
              <w:jc w:val="left"/>
              <w:rPr>
                <w:rFonts w:ascii="仿宋_GB2312" w:eastAsia="仿宋_GB2312"/>
                <w:sz w:val="28"/>
                <w:szCs w:val="28"/>
              </w:rPr>
            </w:pPr>
          </w:p>
        </w:tc>
        <w:tc>
          <w:tcPr>
            <w:tcW w:w="893" w:type="dxa"/>
            <w:tcBorders>
              <w:left w:val="outset" w:color="auto" w:sz="6" w:space="0"/>
            </w:tcBorders>
            <w:vAlign w:val="center"/>
          </w:tcPr>
          <w:p>
            <w:pPr>
              <w:widowControl/>
              <w:jc w:val="left"/>
              <w:rPr>
                <w:rFonts w:ascii="仿宋_GB2312" w:eastAsia="仿宋_GB2312"/>
                <w:sz w:val="28"/>
                <w:szCs w:val="28"/>
              </w:rPr>
            </w:pPr>
          </w:p>
        </w:tc>
        <w:tc>
          <w:tcPr>
            <w:tcW w:w="893" w:type="dxa"/>
            <w:tcBorders>
              <w:left w:val="outset" w:color="auto" w:sz="6" w:space="0"/>
            </w:tcBorders>
            <w:vAlign w:val="center"/>
          </w:tcPr>
          <w:p>
            <w:pPr>
              <w:widowControl/>
              <w:jc w:val="left"/>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执行农民工工资预储金制度数量</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90%—100%</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85%—90%</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80%—85%</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80%</w:t>
            </w:r>
            <w:r>
              <w:rPr>
                <w:rFonts w:hint="eastAsia" w:ascii="仿宋_GB2312" w:eastAsia="仿宋_GB2312"/>
                <w:sz w:val="28"/>
                <w:szCs w:val="28"/>
              </w:rPr>
              <w:t>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 w:hRule="atLeast"/>
          <w:tblCellSpacing w:w="0" w:type="dxa"/>
          <w:jc w:val="center"/>
        </w:trPr>
        <w:tc>
          <w:tcPr>
            <w:tcW w:w="1678" w:type="dxa"/>
            <w:vMerge w:val="restart"/>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　　</w:t>
            </w:r>
            <w:r>
              <w:rPr>
                <w:rFonts w:ascii="仿宋_GB2312" w:eastAsia="仿宋_GB2312"/>
                <w:b/>
                <w:sz w:val="28"/>
                <w:szCs w:val="28"/>
              </w:rPr>
              <w:t>2</w:t>
            </w:r>
            <w:r>
              <w:rPr>
                <w:rFonts w:hint="eastAsia" w:ascii="仿宋_GB2312" w:eastAsia="仿宋_GB2312"/>
                <w:b/>
                <w:sz w:val="28"/>
                <w:szCs w:val="28"/>
              </w:rPr>
              <w:t>、建筑工程质量安全监管</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拟订工程建设地方标准、工程质量、建筑安全生产的政策和规章制度并监督执行，组织编制城乡建设防灾减灾规划并监督实施，组织或参与工程重大质量、安全事故的调查处理，减少建筑安全生产事故；监督执行勘察设计咨询、工程建设监理、质量检测单位资质标准，提高行业水平。</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重点编制节能减排、能源在利用及住宅产业化等方面的地方标准</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建筑工程勘察设计质量问题处理率</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建筑工程施工现场达标率</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90%</w:t>
            </w:r>
            <w:r>
              <w:rPr>
                <w:rFonts w:hint="eastAsia" w:ascii="仿宋_GB2312" w:eastAsia="仿宋_GB2312"/>
                <w:sz w:val="28"/>
                <w:szCs w:val="28"/>
              </w:rPr>
              <w:t>以上</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85%—90%</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80%—85%</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80%</w:t>
            </w:r>
            <w:r>
              <w:rPr>
                <w:rFonts w:hint="eastAsia" w:ascii="仿宋_GB2312" w:eastAsia="仿宋_GB2312"/>
                <w:sz w:val="28"/>
                <w:szCs w:val="28"/>
              </w:rPr>
              <w:t>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工程质量投诉结案率</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90.00%</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85%—90%</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80%—85%</w:t>
            </w:r>
          </w:p>
        </w:tc>
        <w:tc>
          <w:tcPr>
            <w:tcW w:w="893" w:type="dxa"/>
            <w:tcBorders>
              <w:left w:val="outset" w:color="auto" w:sz="6" w:space="0"/>
            </w:tcBorders>
            <w:vAlign w:val="center"/>
          </w:tcPr>
          <w:p>
            <w:pPr>
              <w:widowControl/>
              <w:jc w:val="left"/>
              <w:rPr>
                <w:rFonts w:ascii="仿宋_GB2312" w:eastAsia="仿宋_GB2312"/>
                <w:sz w:val="28"/>
                <w:szCs w:val="28"/>
              </w:rPr>
            </w:pPr>
            <w:r>
              <w:rPr>
                <w:rFonts w:ascii="仿宋_GB2312" w:eastAsia="仿宋_GB2312"/>
                <w:sz w:val="28"/>
                <w:szCs w:val="28"/>
              </w:rPr>
              <w:t>80%</w:t>
            </w:r>
            <w:r>
              <w:rPr>
                <w:rFonts w:hint="eastAsia" w:ascii="仿宋_GB2312" w:eastAsia="仿宋_GB2312"/>
                <w:sz w:val="28"/>
                <w:szCs w:val="28"/>
              </w:rPr>
              <w:t>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地方标准制定数量</w:t>
            </w:r>
          </w:p>
        </w:tc>
        <w:tc>
          <w:tcPr>
            <w:tcW w:w="893" w:type="dxa"/>
            <w:tcBorders>
              <w:left w:val="outset" w:color="auto" w:sz="6" w:space="0"/>
            </w:tcBorders>
            <w:vAlign w:val="center"/>
          </w:tcPr>
          <w:p>
            <w:pPr>
              <w:widowControl/>
              <w:jc w:val="left"/>
              <w:rPr>
                <w:rFonts w:ascii="仿宋_GB2312" w:eastAsia="仿宋_GB2312"/>
                <w:sz w:val="28"/>
                <w:szCs w:val="28"/>
              </w:rPr>
            </w:pPr>
          </w:p>
        </w:tc>
        <w:tc>
          <w:tcPr>
            <w:tcW w:w="893" w:type="dxa"/>
            <w:tcBorders>
              <w:left w:val="outset" w:color="auto" w:sz="6" w:space="0"/>
            </w:tcBorders>
            <w:vAlign w:val="center"/>
          </w:tcPr>
          <w:p>
            <w:pPr>
              <w:widowControl/>
              <w:jc w:val="left"/>
              <w:rPr>
                <w:rFonts w:ascii="仿宋_GB2312" w:eastAsia="仿宋_GB2312"/>
                <w:sz w:val="28"/>
                <w:szCs w:val="28"/>
              </w:rPr>
            </w:pPr>
          </w:p>
        </w:tc>
        <w:tc>
          <w:tcPr>
            <w:tcW w:w="893" w:type="dxa"/>
            <w:tcBorders>
              <w:left w:val="outset" w:color="auto" w:sz="6" w:space="0"/>
            </w:tcBorders>
            <w:vAlign w:val="center"/>
          </w:tcPr>
          <w:p>
            <w:pPr>
              <w:widowControl/>
              <w:jc w:val="left"/>
              <w:rPr>
                <w:rFonts w:ascii="仿宋_GB2312" w:eastAsia="仿宋_GB2312"/>
                <w:sz w:val="28"/>
                <w:szCs w:val="28"/>
              </w:rPr>
            </w:pPr>
          </w:p>
        </w:tc>
        <w:tc>
          <w:tcPr>
            <w:tcW w:w="893" w:type="dxa"/>
            <w:tcBorders>
              <w:left w:val="outset" w:color="auto" w:sz="6" w:space="0"/>
            </w:tcBorders>
            <w:vAlign w:val="center"/>
          </w:tcPr>
          <w:p>
            <w:pPr>
              <w:widowControl/>
              <w:jc w:val="left"/>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 w:hRule="atLeast"/>
          <w:tblCellSpacing w:w="0" w:type="dxa"/>
          <w:jc w:val="center"/>
        </w:trPr>
        <w:tc>
          <w:tcPr>
            <w:tcW w:w="1678" w:type="dxa"/>
            <w:vMerge w:val="continue"/>
            <w:tcBorders>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sz w:val="28"/>
                <w:szCs w:val="28"/>
              </w:rPr>
            </w:pPr>
            <w:r>
              <w:rPr>
                <w:rFonts w:hint="eastAsia" w:ascii="仿宋_GB2312" w:eastAsia="仿宋_GB2312"/>
                <w:sz w:val="28"/>
                <w:szCs w:val="28"/>
              </w:rPr>
              <w:t>结构优质工程数量</w:t>
            </w:r>
          </w:p>
        </w:tc>
        <w:tc>
          <w:tcPr>
            <w:tcW w:w="893" w:type="dxa"/>
            <w:tcBorders>
              <w:left w:val="outset" w:color="auto" w:sz="6" w:space="0"/>
            </w:tcBorders>
            <w:vAlign w:val="center"/>
          </w:tcPr>
          <w:p>
            <w:pPr>
              <w:widowControl/>
              <w:jc w:val="left"/>
              <w:rPr>
                <w:rFonts w:ascii="仿宋_GB2312" w:eastAsia="仿宋_GB2312"/>
                <w:sz w:val="28"/>
                <w:szCs w:val="28"/>
              </w:rPr>
            </w:pPr>
          </w:p>
        </w:tc>
        <w:tc>
          <w:tcPr>
            <w:tcW w:w="893" w:type="dxa"/>
            <w:tcBorders>
              <w:left w:val="outset" w:color="auto" w:sz="6" w:space="0"/>
            </w:tcBorders>
            <w:vAlign w:val="center"/>
          </w:tcPr>
          <w:p>
            <w:pPr>
              <w:widowControl/>
              <w:jc w:val="left"/>
              <w:rPr>
                <w:rFonts w:ascii="仿宋_GB2312" w:eastAsia="仿宋_GB2312"/>
                <w:sz w:val="28"/>
                <w:szCs w:val="28"/>
              </w:rPr>
            </w:pPr>
          </w:p>
        </w:tc>
        <w:tc>
          <w:tcPr>
            <w:tcW w:w="893" w:type="dxa"/>
            <w:tcBorders>
              <w:left w:val="outset" w:color="auto" w:sz="6" w:space="0"/>
            </w:tcBorders>
            <w:vAlign w:val="center"/>
          </w:tcPr>
          <w:p>
            <w:pPr>
              <w:widowControl/>
              <w:jc w:val="left"/>
              <w:rPr>
                <w:rFonts w:ascii="仿宋_GB2312" w:eastAsia="仿宋_GB2312"/>
                <w:sz w:val="28"/>
                <w:szCs w:val="28"/>
              </w:rPr>
            </w:pPr>
          </w:p>
        </w:tc>
        <w:tc>
          <w:tcPr>
            <w:tcW w:w="893" w:type="dxa"/>
            <w:tcBorders>
              <w:left w:val="outset" w:color="auto" w:sz="6" w:space="0"/>
            </w:tcBorders>
            <w:vAlign w:val="center"/>
          </w:tcPr>
          <w:p>
            <w:pPr>
              <w:widowControl/>
              <w:jc w:val="left"/>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1678" w:type="dxa"/>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五、推进建筑节能</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ascii="仿宋_GB2312" w:eastAsia="仿宋_GB2312"/>
                <w:sz w:val="28"/>
                <w:szCs w:val="28"/>
              </w:rPr>
              <w:t>488.46</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体材料、新技术和新建筑节能产品的推广应用。</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提高建设科技对住房城乡建设发展的贡献率，充分发挥建筑节能在城镇节能减排中的作用；提高新型墙体材料、新技术和新建筑节能产品在新建建筑中应用。</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jc w:val="center"/>
        </w:trPr>
        <w:tc>
          <w:tcPr>
            <w:tcW w:w="1678" w:type="dxa"/>
            <w:vMerge w:val="restart"/>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　　</w:t>
            </w:r>
            <w:r>
              <w:rPr>
                <w:rFonts w:ascii="仿宋_GB2312" w:eastAsia="仿宋_GB2312"/>
                <w:b/>
                <w:sz w:val="28"/>
                <w:szCs w:val="28"/>
              </w:rPr>
              <w:t>1</w:t>
            </w:r>
            <w:r>
              <w:rPr>
                <w:rFonts w:hint="eastAsia" w:ascii="仿宋_GB2312" w:eastAsia="仿宋_GB2312"/>
                <w:b/>
                <w:sz w:val="28"/>
                <w:szCs w:val="28"/>
              </w:rPr>
              <w:t>、推进建筑节能</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ascii="仿宋_GB2312" w:eastAsia="仿宋_GB2312"/>
                <w:sz w:val="28"/>
                <w:szCs w:val="28"/>
              </w:rPr>
              <w:t>488.46</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引导推进建筑节能和绿色建筑，组织实施各项建筑节能、绿色建筑、新技术、新体系应用示范项目。推动绿色建筑及住宅产业化，引导建造方式转变，提升住宅性能和品质。</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提高既有居住建筑的保温性能。评选备案项目，完善省级能耗监测平台，建立市级中转平台，实现能耗数据采集、传输、统计等功能。经改造的公共建筑达到节能标准。积累新技术新体系应用经验</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中转平台建设数量</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jc w:val="center"/>
        </w:trPr>
        <w:tc>
          <w:tcPr>
            <w:tcW w:w="1678" w:type="dxa"/>
            <w:vMerge w:val="continue"/>
            <w:tcBorders>
              <w:right w:val="outset" w:color="auto" w:sz="6" w:space="0"/>
            </w:tcBorders>
            <w:vAlign w:val="center"/>
          </w:tcPr>
          <w:p>
            <w:pPr>
              <w:spacing w:line="300" w:lineRule="exact"/>
              <w:jc w:val="left"/>
              <w:rPr>
                <w:rFonts w:ascii="仿宋_GB2312" w:eastAsia="仿宋_GB2312"/>
                <w:b/>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科技新成果完成数量</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jc w:val="center"/>
        </w:trPr>
        <w:tc>
          <w:tcPr>
            <w:tcW w:w="1678" w:type="dxa"/>
            <w:vMerge w:val="continue"/>
            <w:tcBorders>
              <w:right w:val="outset" w:color="auto" w:sz="6" w:space="0"/>
            </w:tcBorders>
            <w:vAlign w:val="center"/>
          </w:tcPr>
          <w:p>
            <w:pPr>
              <w:spacing w:line="300" w:lineRule="exact"/>
              <w:jc w:val="left"/>
              <w:rPr>
                <w:rFonts w:ascii="仿宋_GB2312" w:eastAsia="仿宋_GB2312"/>
                <w:b/>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既有居住建筑供热计量及节能改造任务完成面积</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jc w:val="center"/>
        </w:trPr>
        <w:tc>
          <w:tcPr>
            <w:tcW w:w="1678" w:type="dxa"/>
            <w:vMerge w:val="continue"/>
            <w:tcBorders>
              <w:right w:val="outset" w:color="auto" w:sz="6" w:space="0"/>
            </w:tcBorders>
            <w:vAlign w:val="center"/>
          </w:tcPr>
          <w:p>
            <w:pPr>
              <w:spacing w:line="300" w:lineRule="exact"/>
              <w:jc w:val="left"/>
              <w:rPr>
                <w:rFonts w:ascii="仿宋_GB2312" w:eastAsia="仿宋_GB2312"/>
                <w:b/>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建筑应用可再生能源面积比率</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1678" w:type="dxa"/>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六、住建政务管理</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ascii="仿宋_GB2312" w:eastAsia="仿宋_GB2312"/>
                <w:sz w:val="28"/>
                <w:szCs w:val="28"/>
              </w:rPr>
              <w:t>8030.45</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负责住建系统综合业务管理和机关综合事务管理。</w:t>
            </w:r>
          </w:p>
        </w:tc>
        <w:tc>
          <w:tcPr>
            <w:tcW w:w="1672" w:type="dxa"/>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加强全区住房城乡建设人才队伍建设，提高人才业务素质，激励工作热情，提高行业水平。</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 w:hRule="atLeast"/>
          <w:tblCellSpacing w:w="0" w:type="dxa"/>
          <w:jc w:val="center"/>
        </w:trPr>
        <w:tc>
          <w:tcPr>
            <w:tcW w:w="1678" w:type="dxa"/>
            <w:vMerge w:val="restart"/>
            <w:tcBorders>
              <w:right w:val="outset" w:color="auto" w:sz="6" w:space="0"/>
            </w:tcBorders>
            <w:vAlign w:val="center"/>
          </w:tcPr>
          <w:p>
            <w:pPr>
              <w:spacing w:line="300" w:lineRule="exact"/>
              <w:jc w:val="left"/>
              <w:rPr>
                <w:rFonts w:ascii="仿宋_GB2312" w:eastAsia="仿宋_GB2312"/>
                <w:b/>
                <w:sz w:val="28"/>
                <w:szCs w:val="28"/>
              </w:rPr>
            </w:pPr>
            <w:r>
              <w:rPr>
                <w:rFonts w:hint="eastAsia" w:ascii="仿宋_GB2312" w:eastAsia="仿宋_GB2312"/>
                <w:b/>
                <w:sz w:val="28"/>
                <w:szCs w:val="28"/>
              </w:rPr>
              <w:t>　　</w:t>
            </w:r>
            <w:r>
              <w:rPr>
                <w:rFonts w:ascii="仿宋_GB2312" w:eastAsia="仿宋_GB2312"/>
                <w:b/>
                <w:sz w:val="28"/>
                <w:szCs w:val="28"/>
              </w:rPr>
              <w:t>1</w:t>
            </w:r>
            <w:r>
              <w:rPr>
                <w:rFonts w:hint="eastAsia" w:ascii="仿宋_GB2312" w:eastAsia="仿宋_GB2312"/>
                <w:b/>
                <w:sz w:val="28"/>
                <w:szCs w:val="28"/>
              </w:rPr>
              <w:t>、综合业务管理</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ascii="仿宋_GB2312" w:eastAsia="仿宋_GB2312"/>
                <w:sz w:val="28"/>
                <w:szCs w:val="28"/>
              </w:rPr>
              <w:t>8030.45</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推进全系统依法行政，加强行政许可管理和城市建设档案管理；拟定适合县情的住房政策，指导住房建设和建筑工程抗震防灾管理工作；制定全区住房和城乡建设工作的规范性文件、办法；组织编制科技发展规划和技术经济政策。</w:t>
            </w:r>
          </w:p>
        </w:tc>
        <w:tc>
          <w:tcPr>
            <w:tcW w:w="1672" w:type="dxa"/>
            <w:vMerge w:val="restart"/>
            <w:tcBorders>
              <w:left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加强全区住房城乡建设人才队伍建设，提高人才业务素质，激励工作热情，提高行业水平</w:t>
            </w: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归档率</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 w:hRule="atLeast"/>
          <w:tblCellSpacing w:w="0" w:type="dxa"/>
          <w:jc w:val="center"/>
        </w:trPr>
        <w:tc>
          <w:tcPr>
            <w:tcW w:w="1678" w:type="dxa"/>
            <w:vMerge w:val="continue"/>
            <w:tcBorders>
              <w:right w:val="outset" w:color="auto" w:sz="6" w:space="0"/>
            </w:tcBorders>
            <w:vAlign w:val="center"/>
          </w:tcPr>
          <w:p>
            <w:pPr>
              <w:spacing w:line="300" w:lineRule="exact"/>
              <w:jc w:val="left"/>
              <w:rPr>
                <w:rFonts w:ascii="仿宋_GB2312" w:eastAsia="仿宋_GB2312"/>
                <w:b/>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综合事务保障率</w:t>
            </w: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tcBorders>
            <w:vAlign w:val="center"/>
          </w:tcPr>
          <w:p>
            <w:pPr>
              <w:spacing w:line="300" w:lineRule="exact"/>
              <w:jc w:val="center"/>
              <w:rPr>
                <w:rFonts w:ascii="仿宋_GB2312" w:eastAsia="仿宋_GB2312"/>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 w:hRule="atLeast"/>
          <w:tblCellSpacing w:w="0" w:type="dxa"/>
          <w:jc w:val="center"/>
        </w:trPr>
        <w:tc>
          <w:tcPr>
            <w:tcW w:w="1678" w:type="dxa"/>
            <w:vMerge w:val="continue"/>
            <w:tcBorders>
              <w:bottom w:val="outset" w:color="auto" w:sz="6" w:space="0"/>
              <w:right w:val="outset" w:color="auto" w:sz="6" w:space="0"/>
            </w:tcBorders>
            <w:vAlign w:val="center"/>
          </w:tcPr>
          <w:p>
            <w:pPr>
              <w:spacing w:line="300" w:lineRule="exact"/>
              <w:jc w:val="left"/>
              <w:rPr>
                <w:rFonts w:ascii="仿宋_GB2312" w:eastAsia="仿宋_GB2312"/>
                <w:b/>
                <w:sz w:val="28"/>
                <w:szCs w:val="28"/>
              </w:rPr>
            </w:pPr>
          </w:p>
        </w:tc>
        <w:tc>
          <w:tcPr>
            <w:tcW w:w="1672" w:type="dxa"/>
            <w:vMerge w:val="continue"/>
            <w:tcBorders>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vMerge w:val="continue"/>
            <w:tcBorders>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p>
        </w:tc>
        <w:tc>
          <w:tcPr>
            <w:tcW w:w="1672" w:type="dxa"/>
            <w:tcBorders>
              <w:top w:val="outset" w:color="auto" w:sz="6" w:space="0"/>
              <w:left w:val="outset" w:color="auto" w:sz="6" w:space="0"/>
              <w:bottom w:val="outset" w:color="auto" w:sz="6" w:space="0"/>
              <w:right w:val="outset" w:color="auto"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行业培训计划完成率</w:t>
            </w:r>
          </w:p>
        </w:tc>
        <w:tc>
          <w:tcPr>
            <w:tcW w:w="893" w:type="dxa"/>
            <w:tcBorders>
              <w:left w:val="outset" w:color="auto" w:sz="6" w:space="0"/>
              <w:bottom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bottom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bottom w:val="outset" w:color="auto" w:sz="6" w:space="0"/>
            </w:tcBorders>
            <w:vAlign w:val="center"/>
          </w:tcPr>
          <w:p>
            <w:pPr>
              <w:spacing w:line="300" w:lineRule="exact"/>
              <w:jc w:val="center"/>
              <w:rPr>
                <w:rFonts w:ascii="仿宋_GB2312" w:eastAsia="仿宋_GB2312"/>
                <w:sz w:val="28"/>
                <w:szCs w:val="28"/>
              </w:rPr>
            </w:pPr>
          </w:p>
        </w:tc>
        <w:tc>
          <w:tcPr>
            <w:tcW w:w="893" w:type="dxa"/>
            <w:tcBorders>
              <w:left w:val="outset" w:color="auto" w:sz="6" w:space="0"/>
              <w:bottom w:val="outset" w:color="auto" w:sz="6" w:space="0"/>
            </w:tcBorders>
            <w:vAlign w:val="center"/>
          </w:tcPr>
          <w:p>
            <w:pPr>
              <w:spacing w:line="300" w:lineRule="exact"/>
              <w:jc w:val="center"/>
              <w:rPr>
                <w:rFonts w:ascii="仿宋_GB2312" w:eastAsia="仿宋_GB2312"/>
                <w:sz w:val="28"/>
                <w:szCs w:val="28"/>
              </w:rPr>
            </w:pPr>
          </w:p>
        </w:tc>
      </w:tr>
    </w:tbl>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color w:val="000000"/>
          <w:kern w:val="0"/>
          <w:sz w:val="32"/>
          <w:szCs w:val="32"/>
        </w:rPr>
      </w:pPr>
      <w:r>
        <w:rPr>
          <w:rFonts w:hint="eastAsia" w:ascii="黑体" w:eastAsia="黑体" w:cs="宋体"/>
          <w:b/>
          <w:bCs/>
          <w:color w:val="000000"/>
          <w:kern w:val="0"/>
          <w:sz w:val="32"/>
          <w:szCs w:val="32"/>
        </w:rPr>
        <w:t>六、政府采购预算情况</w:t>
      </w:r>
    </w:p>
    <w:p>
      <w:pPr>
        <w:widowControl/>
        <w:spacing w:line="360" w:lineRule="atLeast"/>
        <w:ind w:firstLine="640" w:firstLineChars="200"/>
        <w:jc w:val="left"/>
        <w:rPr>
          <w:rFonts w:ascii="宋体" w:hAnsi="宋体"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年，我部门安排政府采购预算</w:t>
      </w:r>
      <w:r>
        <w:rPr>
          <w:rFonts w:ascii="仿宋_GB2312" w:eastAsia="仿宋_GB2312" w:cs="宋体"/>
          <w:color w:val="000000"/>
          <w:kern w:val="0"/>
          <w:sz w:val="32"/>
          <w:szCs w:val="32"/>
        </w:rPr>
        <w:t>78.48</w:t>
      </w:r>
      <w:r>
        <w:rPr>
          <w:rFonts w:hint="eastAsia" w:ascii="仿宋_GB2312" w:eastAsia="仿宋_GB2312" w:cs="宋体"/>
          <w:color w:val="000000"/>
          <w:kern w:val="0"/>
          <w:sz w:val="32"/>
          <w:szCs w:val="32"/>
        </w:rPr>
        <w:t>万元。具体内容见下表。</w:t>
      </w:r>
    </w:p>
    <w:p>
      <w:pPr>
        <w:jc w:val="center"/>
        <w:outlineLvl w:val="0"/>
        <w:rPr>
          <w:rFonts w:ascii="仿宋_GB2312" w:eastAsia="仿宋_GB2312" w:cs="Times New Roman"/>
          <w:sz w:val="32"/>
          <w:szCs w:val="32"/>
        </w:rPr>
      </w:pPr>
      <w:r>
        <w:rPr>
          <w:rFonts w:hint="eastAsia" w:ascii="仿宋_GB2312" w:eastAsia="仿宋_GB2312" w:cs="Times New Roman"/>
          <w:sz w:val="32"/>
          <w:szCs w:val="32"/>
        </w:rPr>
        <w:t>部门政府采购预算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6"/>
        <w:gridCol w:w="977"/>
        <w:gridCol w:w="798"/>
        <w:gridCol w:w="1486"/>
        <w:gridCol w:w="798"/>
        <w:gridCol w:w="798"/>
        <w:gridCol w:w="820"/>
        <w:gridCol w:w="922"/>
        <w:gridCol w:w="922"/>
        <w:gridCol w:w="922"/>
        <w:gridCol w:w="740"/>
        <w:gridCol w:w="801"/>
        <w:gridCol w:w="801"/>
        <w:gridCol w:w="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13"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_GB2312" w:eastAsia="仿宋_GB2312" w:cs="Times New Roman"/>
                <w:sz w:val="28"/>
                <w:szCs w:val="28"/>
              </w:rPr>
            </w:pPr>
            <w:r>
              <w:rPr>
                <w:rFonts w:ascii="仿宋_GB2312" w:eastAsia="仿宋_GB2312" w:cs="Times New Roman"/>
                <w:sz w:val="28"/>
                <w:szCs w:val="28"/>
              </w:rPr>
              <w:t>601</w:t>
            </w:r>
            <w:r>
              <w:rPr>
                <w:rFonts w:hint="eastAsia" w:ascii="仿宋_GB2312" w:eastAsia="仿宋_GB2312" w:cs="Times New Roman"/>
                <w:sz w:val="28"/>
                <w:szCs w:val="28"/>
              </w:rPr>
              <w:t>廊坊市广阳区建设局</w:t>
            </w:r>
          </w:p>
        </w:tc>
        <w:tc>
          <w:tcPr>
            <w:tcW w:w="5848"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13" w:type="dxa"/>
            <w:gridSpan w:val="2"/>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798"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486"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798"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r>
              <w:rPr>
                <w:rFonts w:ascii="仿宋_GB2312" w:eastAsia="仿宋_GB2312" w:cs="Times New Roman"/>
                <w:b/>
                <w:sz w:val="28"/>
                <w:szCs w:val="28"/>
              </w:rPr>
              <w:t xml:space="preserve">  </w:t>
            </w:r>
            <w:r>
              <w:rPr>
                <w:rFonts w:hint="eastAsia" w:ascii="仿宋_GB2312" w:eastAsia="仿宋_GB2312" w:cs="Times New Roman"/>
                <w:b/>
                <w:sz w:val="28"/>
                <w:szCs w:val="28"/>
              </w:rPr>
              <w:t>单位</w:t>
            </w:r>
          </w:p>
        </w:tc>
        <w:tc>
          <w:tcPr>
            <w:tcW w:w="798"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20"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848" w:type="dxa"/>
            <w:gridSpan w:val="7"/>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36"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977"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798" w:type="dxa"/>
            <w:vMerge w:val="continue"/>
            <w:vAlign w:val="center"/>
          </w:tcPr>
          <w:p>
            <w:pPr>
              <w:rPr>
                <w:rFonts w:ascii="仿宋_GB2312" w:eastAsia="仿宋_GB2312"/>
                <w:sz w:val="28"/>
                <w:szCs w:val="28"/>
              </w:rPr>
            </w:pPr>
          </w:p>
        </w:tc>
        <w:tc>
          <w:tcPr>
            <w:tcW w:w="1486" w:type="dxa"/>
            <w:vMerge w:val="continue"/>
            <w:vAlign w:val="center"/>
          </w:tcPr>
          <w:p>
            <w:pPr>
              <w:rPr>
                <w:rFonts w:ascii="仿宋_GB2312" w:eastAsia="仿宋_GB2312"/>
                <w:sz w:val="28"/>
                <w:szCs w:val="28"/>
              </w:rPr>
            </w:pPr>
          </w:p>
        </w:tc>
        <w:tc>
          <w:tcPr>
            <w:tcW w:w="798" w:type="dxa"/>
            <w:vMerge w:val="continue"/>
            <w:vAlign w:val="center"/>
          </w:tcPr>
          <w:p>
            <w:pPr>
              <w:rPr>
                <w:rFonts w:ascii="仿宋_GB2312" w:eastAsia="仿宋_GB2312"/>
                <w:sz w:val="28"/>
                <w:szCs w:val="28"/>
              </w:rPr>
            </w:pPr>
          </w:p>
        </w:tc>
        <w:tc>
          <w:tcPr>
            <w:tcW w:w="798" w:type="dxa"/>
            <w:vMerge w:val="continue"/>
            <w:vAlign w:val="center"/>
          </w:tcPr>
          <w:p>
            <w:pPr>
              <w:rPr>
                <w:rFonts w:ascii="仿宋_GB2312" w:eastAsia="仿宋_GB2312"/>
                <w:sz w:val="28"/>
                <w:szCs w:val="28"/>
              </w:rPr>
            </w:pPr>
          </w:p>
        </w:tc>
        <w:tc>
          <w:tcPr>
            <w:tcW w:w="820" w:type="dxa"/>
            <w:vMerge w:val="continue"/>
            <w:vAlign w:val="center"/>
          </w:tcPr>
          <w:p>
            <w:pPr>
              <w:rPr>
                <w:rFonts w:ascii="仿宋_GB2312" w:eastAsia="仿宋_GB2312"/>
                <w:sz w:val="28"/>
                <w:szCs w:val="28"/>
              </w:rPr>
            </w:pPr>
          </w:p>
        </w:tc>
        <w:tc>
          <w:tcPr>
            <w:tcW w:w="922"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86" w:type="dxa"/>
            <w:gridSpan w:val="5"/>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40" w:type="dxa"/>
            <w:vMerge w:val="restart"/>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36" w:type="dxa"/>
            <w:vMerge w:val="continue"/>
            <w:vAlign w:val="center"/>
          </w:tcPr>
          <w:p>
            <w:pPr>
              <w:rPr>
                <w:rFonts w:ascii="仿宋_GB2312" w:eastAsia="仿宋_GB2312"/>
                <w:sz w:val="28"/>
                <w:szCs w:val="28"/>
              </w:rPr>
            </w:pPr>
          </w:p>
        </w:tc>
        <w:tc>
          <w:tcPr>
            <w:tcW w:w="977" w:type="dxa"/>
            <w:vMerge w:val="continue"/>
            <w:vAlign w:val="center"/>
          </w:tcPr>
          <w:p>
            <w:pPr>
              <w:rPr>
                <w:rFonts w:ascii="仿宋_GB2312" w:eastAsia="仿宋_GB2312"/>
                <w:sz w:val="28"/>
                <w:szCs w:val="28"/>
              </w:rPr>
            </w:pPr>
          </w:p>
        </w:tc>
        <w:tc>
          <w:tcPr>
            <w:tcW w:w="798" w:type="dxa"/>
            <w:vMerge w:val="continue"/>
            <w:vAlign w:val="center"/>
          </w:tcPr>
          <w:p>
            <w:pPr>
              <w:rPr>
                <w:rFonts w:ascii="仿宋_GB2312" w:eastAsia="仿宋_GB2312"/>
                <w:sz w:val="28"/>
                <w:szCs w:val="28"/>
              </w:rPr>
            </w:pPr>
          </w:p>
        </w:tc>
        <w:tc>
          <w:tcPr>
            <w:tcW w:w="1486" w:type="dxa"/>
            <w:vMerge w:val="continue"/>
            <w:vAlign w:val="center"/>
          </w:tcPr>
          <w:p>
            <w:pPr>
              <w:rPr>
                <w:rFonts w:ascii="仿宋_GB2312" w:eastAsia="仿宋_GB2312"/>
                <w:sz w:val="28"/>
                <w:szCs w:val="28"/>
              </w:rPr>
            </w:pPr>
          </w:p>
        </w:tc>
        <w:tc>
          <w:tcPr>
            <w:tcW w:w="798" w:type="dxa"/>
            <w:vMerge w:val="continue"/>
            <w:vAlign w:val="center"/>
          </w:tcPr>
          <w:p>
            <w:pPr>
              <w:rPr>
                <w:rFonts w:ascii="仿宋_GB2312" w:eastAsia="仿宋_GB2312"/>
                <w:sz w:val="28"/>
                <w:szCs w:val="28"/>
              </w:rPr>
            </w:pPr>
          </w:p>
        </w:tc>
        <w:tc>
          <w:tcPr>
            <w:tcW w:w="798" w:type="dxa"/>
            <w:vMerge w:val="continue"/>
            <w:vAlign w:val="center"/>
          </w:tcPr>
          <w:p>
            <w:pPr>
              <w:rPr>
                <w:rFonts w:ascii="仿宋_GB2312" w:eastAsia="仿宋_GB2312"/>
                <w:sz w:val="28"/>
                <w:szCs w:val="28"/>
              </w:rPr>
            </w:pPr>
          </w:p>
        </w:tc>
        <w:tc>
          <w:tcPr>
            <w:tcW w:w="820" w:type="dxa"/>
            <w:vMerge w:val="continue"/>
            <w:vAlign w:val="center"/>
          </w:tcPr>
          <w:p>
            <w:pPr>
              <w:rPr>
                <w:rFonts w:ascii="仿宋_GB2312" w:eastAsia="仿宋_GB2312"/>
                <w:sz w:val="28"/>
                <w:szCs w:val="28"/>
              </w:rPr>
            </w:pPr>
          </w:p>
        </w:tc>
        <w:tc>
          <w:tcPr>
            <w:tcW w:w="922" w:type="dxa"/>
            <w:vMerge w:val="continue"/>
            <w:vAlign w:val="center"/>
          </w:tcPr>
          <w:p>
            <w:pPr>
              <w:rPr>
                <w:rFonts w:ascii="仿宋_GB2312" w:eastAsia="仿宋_GB2312"/>
                <w:sz w:val="28"/>
                <w:szCs w:val="28"/>
              </w:rPr>
            </w:pPr>
          </w:p>
        </w:tc>
        <w:tc>
          <w:tcPr>
            <w:tcW w:w="922"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922"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40"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01"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01"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40" w:type="dxa"/>
            <w:vMerge w:val="continue"/>
            <w:vAlign w:val="center"/>
          </w:tcPr>
          <w:p>
            <w:pP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6" w:type="dxa"/>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977" w:type="dxa"/>
            <w:vAlign w:val="center"/>
          </w:tcPr>
          <w:p>
            <w:pPr>
              <w:spacing w:line="300" w:lineRule="exact"/>
              <w:jc w:val="center"/>
              <w:rPr>
                <w:rFonts w:ascii="仿宋_GB2312" w:eastAsia="仿宋_GB2312" w:cs="Times New Roman"/>
                <w:b/>
                <w:sz w:val="28"/>
                <w:szCs w:val="28"/>
              </w:rPr>
            </w:pPr>
            <w:r>
              <w:rPr>
                <w:rFonts w:ascii="仿宋_GB2312" w:eastAsia="仿宋_GB2312" w:cs="Times New Roman"/>
                <w:b/>
                <w:sz w:val="28"/>
                <w:szCs w:val="28"/>
              </w:rPr>
              <w:t>78.48</w:t>
            </w:r>
          </w:p>
        </w:tc>
        <w:tc>
          <w:tcPr>
            <w:tcW w:w="798" w:type="dxa"/>
            <w:vAlign w:val="center"/>
          </w:tcPr>
          <w:p>
            <w:pPr>
              <w:spacing w:line="300" w:lineRule="exact"/>
              <w:jc w:val="center"/>
              <w:rPr>
                <w:rFonts w:ascii="仿宋_GB2312" w:eastAsia="仿宋_GB2312" w:cs="Times New Roman"/>
                <w:b/>
                <w:sz w:val="28"/>
                <w:szCs w:val="28"/>
              </w:rPr>
            </w:pPr>
          </w:p>
        </w:tc>
        <w:tc>
          <w:tcPr>
            <w:tcW w:w="1486" w:type="dxa"/>
            <w:vAlign w:val="center"/>
          </w:tcPr>
          <w:p>
            <w:pPr>
              <w:spacing w:line="300" w:lineRule="exact"/>
              <w:jc w:val="center"/>
              <w:rPr>
                <w:rFonts w:ascii="仿宋_GB2312" w:eastAsia="仿宋_GB2312" w:cs="Times New Roman"/>
                <w:b/>
                <w:sz w:val="28"/>
                <w:szCs w:val="28"/>
              </w:rPr>
            </w:pPr>
          </w:p>
        </w:tc>
        <w:tc>
          <w:tcPr>
            <w:tcW w:w="798" w:type="dxa"/>
            <w:vAlign w:val="center"/>
          </w:tcPr>
          <w:p>
            <w:pPr>
              <w:spacing w:line="300" w:lineRule="exact"/>
              <w:jc w:val="center"/>
              <w:rPr>
                <w:rFonts w:ascii="仿宋_GB2312" w:eastAsia="仿宋_GB2312" w:cs="Times New Roman"/>
                <w:b/>
                <w:sz w:val="28"/>
                <w:szCs w:val="28"/>
              </w:rPr>
            </w:pPr>
          </w:p>
        </w:tc>
        <w:tc>
          <w:tcPr>
            <w:tcW w:w="798" w:type="dxa"/>
            <w:vAlign w:val="center"/>
          </w:tcPr>
          <w:p>
            <w:pPr>
              <w:spacing w:line="300" w:lineRule="exact"/>
              <w:jc w:val="center"/>
              <w:rPr>
                <w:rFonts w:ascii="仿宋_GB2312" w:eastAsia="仿宋_GB2312" w:cs="Times New Roman"/>
                <w:b/>
                <w:sz w:val="28"/>
                <w:szCs w:val="28"/>
              </w:rPr>
            </w:pPr>
          </w:p>
        </w:tc>
        <w:tc>
          <w:tcPr>
            <w:tcW w:w="820" w:type="dxa"/>
            <w:vAlign w:val="center"/>
          </w:tcPr>
          <w:p>
            <w:pPr>
              <w:spacing w:line="300" w:lineRule="exact"/>
              <w:jc w:val="center"/>
              <w:rPr>
                <w:rFonts w:ascii="仿宋_GB2312" w:eastAsia="仿宋_GB2312" w:cs="Times New Roman"/>
                <w:b/>
                <w:sz w:val="28"/>
                <w:szCs w:val="28"/>
              </w:rPr>
            </w:pPr>
          </w:p>
        </w:tc>
        <w:tc>
          <w:tcPr>
            <w:tcW w:w="922" w:type="dxa"/>
            <w:vAlign w:val="center"/>
          </w:tcPr>
          <w:p>
            <w:pPr>
              <w:spacing w:line="300" w:lineRule="exact"/>
              <w:jc w:val="center"/>
              <w:rPr>
                <w:rFonts w:ascii="仿宋_GB2312" w:eastAsia="仿宋_GB2312" w:cs="Times New Roman"/>
                <w:b/>
                <w:sz w:val="28"/>
                <w:szCs w:val="28"/>
              </w:rPr>
            </w:pPr>
            <w:r>
              <w:rPr>
                <w:rFonts w:ascii="仿宋_GB2312" w:eastAsia="仿宋_GB2312" w:cs="Times New Roman"/>
                <w:b/>
                <w:sz w:val="28"/>
                <w:szCs w:val="28"/>
              </w:rPr>
              <w:t>78.48</w:t>
            </w:r>
          </w:p>
        </w:tc>
        <w:tc>
          <w:tcPr>
            <w:tcW w:w="922" w:type="dxa"/>
            <w:vAlign w:val="center"/>
          </w:tcPr>
          <w:p>
            <w:pPr>
              <w:spacing w:line="300" w:lineRule="exact"/>
              <w:jc w:val="center"/>
              <w:rPr>
                <w:rFonts w:ascii="仿宋_GB2312" w:eastAsia="仿宋_GB2312" w:cs="Times New Roman"/>
                <w:b/>
                <w:sz w:val="28"/>
                <w:szCs w:val="28"/>
              </w:rPr>
            </w:pPr>
            <w:r>
              <w:rPr>
                <w:rFonts w:ascii="仿宋_GB2312" w:eastAsia="仿宋_GB2312" w:cs="Times New Roman"/>
                <w:b/>
                <w:sz w:val="28"/>
                <w:szCs w:val="28"/>
              </w:rPr>
              <w:t>78.48</w:t>
            </w:r>
          </w:p>
        </w:tc>
        <w:tc>
          <w:tcPr>
            <w:tcW w:w="922" w:type="dxa"/>
            <w:vAlign w:val="center"/>
          </w:tcPr>
          <w:p>
            <w:pPr>
              <w:spacing w:line="300" w:lineRule="exact"/>
              <w:jc w:val="center"/>
              <w:rPr>
                <w:rFonts w:ascii="仿宋_GB2312" w:eastAsia="仿宋_GB2312" w:cs="Times New Roman"/>
                <w:b/>
                <w:sz w:val="28"/>
                <w:szCs w:val="28"/>
              </w:rPr>
            </w:pPr>
            <w:r>
              <w:rPr>
                <w:rFonts w:ascii="仿宋_GB2312" w:eastAsia="仿宋_GB2312" w:cs="Times New Roman"/>
                <w:b/>
                <w:sz w:val="28"/>
                <w:szCs w:val="28"/>
              </w:rPr>
              <w:t>78.48</w:t>
            </w:r>
          </w:p>
        </w:tc>
        <w:tc>
          <w:tcPr>
            <w:tcW w:w="740" w:type="dxa"/>
            <w:vAlign w:val="center"/>
          </w:tcPr>
          <w:p>
            <w:pPr>
              <w:spacing w:line="300" w:lineRule="exact"/>
              <w:jc w:val="center"/>
              <w:rPr>
                <w:rFonts w:ascii="仿宋_GB2312" w:eastAsia="仿宋_GB2312" w:cs="Times New Roman"/>
                <w:b/>
                <w:sz w:val="28"/>
                <w:szCs w:val="28"/>
              </w:rPr>
            </w:pPr>
          </w:p>
        </w:tc>
        <w:tc>
          <w:tcPr>
            <w:tcW w:w="801" w:type="dxa"/>
            <w:vAlign w:val="center"/>
          </w:tcPr>
          <w:p>
            <w:pPr>
              <w:spacing w:line="300" w:lineRule="exact"/>
              <w:jc w:val="center"/>
              <w:rPr>
                <w:rFonts w:ascii="仿宋_GB2312" w:eastAsia="仿宋_GB2312" w:cs="Times New Roman"/>
                <w:b/>
                <w:sz w:val="28"/>
                <w:szCs w:val="28"/>
              </w:rPr>
            </w:pPr>
          </w:p>
        </w:tc>
        <w:tc>
          <w:tcPr>
            <w:tcW w:w="801" w:type="dxa"/>
            <w:vAlign w:val="center"/>
          </w:tcPr>
          <w:p>
            <w:pPr>
              <w:spacing w:line="300" w:lineRule="exact"/>
              <w:jc w:val="center"/>
              <w:rPr>
                <w:rFonts w:ascii="仿宋_GB2312" w:eastAsia="仿宋_GB2312" w:cs="Times New Roman"/>
                <w:b/>
                <w:sz w:val="28"/>
                <w:szCs w:val="28"/>
              </w:rPr>
            </w:pPr>
          </w:p>
        </w:tc>
        <w:tc>
          <w:tcPr>
            <w:tcW w:w="740" w:type="dxa"/>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6"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城区清扫保洁装备材料购置费</w:t>
            </w:r>
          </w:p>
        </w:tc>
        <w:tc>
          <w:tcPr>
            <w:tcW w:w="977"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30</w:t>
            </w:r>
          </w:p>
        </w:tc>
        <w:tc>
          <w:tcPr>
            <w:tcW w:w="798"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清洁卫生车辆</w:t>
            </w:r>
          </w:p>
        </w:tc>
        <w:tc>
          <w:tcPr>
            <w:tcW w:w="1486"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A02030727</w:t>
            </w:r>
          </w:p>
        </w:tc>
        <w:tc>
          <w:tcPr>
            <w:tcW w:w="798"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辆</w:t>
            </w:r>
          </w:p>
        </w:tc>
        <w:tc>
          <w:tcPr>
            <w:tcW w:w="798"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30</w:t>
            </w:r>
          </w:p>
        </w:tc>
        <w:tc>
          <w:tcPr>
            <w:tcW w:w="820"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1</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30</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30</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30</w:t>
            </w:r>
          </w:p>
        </w:tc>
        <w:tc>
          <w:tcPr>
            <w:tcW w:w="740" w:type="dxa"/>
            <w:vAlign w:val="center"/>
          </w:tcPr>
          <w:p>
            <w:pPr>
              <w:spacing w:line="300" w:lineRule="exact"/>
              <w:jc w:val="center"/>
              <w:rPr>
                <w:rFonts w:ascii="仿宋_GB2312" w:eastAsia="仿宋_GB2312" w:cs="Times New Roman"/>
                <w:b/>
                <w:sz w:val="28"/>
                <w:szCs w:val="28"/>
              </w:rPr>
            </w:pPr>
          </w:p>
        </w:tc>
        <w:tc>
          <w:tcPr>
            <w:tcW w:w="801" w:type="dxa"/>
            <w:vAlign w:val="center"/>
          </w:tcPr>
          <w:p>
            <w:pPr>
              <w:spacing w:line="300" w:lineRule="exact"/>
              <w:jc w:val="center"/>
              <w:rPr>
                <w:rFonts w:ascii="仿宋_GB2312" w:eastAsia="仿宋_GB2312" w:cs="Times New Roman"/>
                <w:b/>
                <w:sz w:val="28"/>
                <w:szCs w:val="28"/>
              </w:rPr>
            </w:pPr>
          </w:p>
        </w:tc>
        <w:tc>
          <w:tcPr>
            <w:tcW w:w="801" w:type="dxa"/>
            <w:vAlign w:val="center"/>
          </w:tcPr>
          <w:p>
            <w:pPr>
              <w:spacing w:line="300" w:lineRule="exact"/>
              <w:jc w:val="center"/>
              <w:rPr>
                <w:rFonts w:ascii="仿宋_GB2312" w:eastAsia="仿宋_GB2312" w:cs="Times New Roman"/>
                <w:b/>
                <w:sz w:val="28"/>
                <w:szCs w:val="28"/>
              </w:rPr>
            </w:pPr>
          </w:p>
        </w:tc>
        <w:tc>
          <w:tcPr>
            <w:tcW w:w="740" w:type="dxa"/>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6"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城区清扫保洁装备材料购置费</w:t>
            </w:r>
          </w:p>
        </w:tc>
        <w:tc>
          <w:tcPr>
            <w:tcW w:w="977"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44.28</w:t>
            </w:r>
          </w:p>
        </w:tc>
        <w:tc>
          <w:tcPr>
            <w:tcW w:w="798"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其他货物</w:t>
            </w:r>
          </w:p>
        </w:tc>
        <w:tc>
          <w:tcPr>
            <w:tcW w:w="1486"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A99</w:t>
            </w:r>
          </w:p>
        </w:tc>
        <w:tc>
          <w:tcPr>
            <w:tcW w:w="798"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套</w:t>
            </w:r>
          </w:p>
        </w:tc>
        <w:tc>
          <w:tcPr>
            <w:tcW w:w="798"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738</w:t>
            </w:r>
          </w:p>
        </w:tc>
        <w:tc>
          <w:tcPr>
            <w:tcW w:w="820"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0.06</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44.28</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44.28</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44.28</w:t>
            </w:r>
          </w:p>
        </w:tc>
        <w:tc>
          <w:tcPr>
            <w:tcW w:w="740" w:type="dxa"/>
            <w:vAlign w:val="center"/>
          </w:tcPr>
          <w:p>
            <w:pPr>
              <w:spacing w:line="300" w:lineRule="exact"/>
              <w:jc w:val="center"/>
              <w:rPr>
                <w:rFonts w:ascii="仿宋_GB2312" w:eastAsia="仿宋_GB2312" w:cs="Times New Roman"/>
                <w:sz w:val="28"/>
                <w:szCs w:val="28"/>
              </w:rPr>
            </w:pPr>
          </w:p>
        </w:tc>
        <w:tc>
          <w:tcPr>
            <w:tcW w:w="801" w:type="dxa"/>
            <w:vAlign w:val="center"/>
          </w:tcPr>
          <w:p>
            <w:pPr>
              <w:spacing w:line="300" w:lineRule="exact"/>
              <w:jc w:val="center"/>
              <w:rPr>
                <w:rFonts w:ascii="仿宋_GB2312" w:eastAsia="仿宋_GB2312" w:cs="Times New Roman"/>
                <w:sz w:val="28"/>
                <w:szCs w:val="28"/>
              </w:rPr>
            </w:pPr>
          </w:p>
        </w:tc>
        <w:tc>
          <w:tcPr>
            <w:tcW w:w="801" w:type="dxa"/>
            <w:vAlign w:val="center"/>
          </w:tcPr>
          <w:p>
            <w:pPr>
              <w:spacing w:line="300" w:lineRule="exact"/>
              <w:jc w:val="center"/>
              <w:rPr>
                <w:rFonts w:ascii="仿宋_GB2312" w:eastAsia="仿宋_GB2312" w:cs="Times New Roman"/>
                <w:sz w:val="28"/>
                <w:szCs w:val="28"/>
              </w:rPr>
            </w:pPr>
          </w:p>
        </w:tc>
        <w:tc>
          <w:tcPr>
            <w:tcW w:w="740" w:type="dxa"/>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36"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办公经费</w:t>
            </w:r>
          </w:p>
        </w:tc>
        <w:tc>
          <w:tcPr>
            <w:tcW w:w="977"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1.4</w:t>
            </w:r>
          </w:p>
        </w:tc>
        <w:tc>
          <w:tcPr>
            <w:tcW w:w="798"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计算机设备</w:t>
            </w:r>
          </w:p>
        </w:tc>
        <w:tc>
          <w:tcPr>
            <w:tcW w:w="1486"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A020101</w:t>
            </w:r>
          </w:p>
        </w:tc>
        <w:tc>
          <w:tcPr>
            <w:tcW w:w="798"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台</w:t>
            </w:r>
          </w:p>
        </w:tc>
        <w:tc>
          <w:tcPr>
            <w:tcW w:w="798"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4</w:t>
            </w:r>
          </w:p>
        </w:tc>
        <w:tc>
          <w:tcPr>
            <w:tcW w:w="820"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0.35</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1.4</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1.4</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1.4</w:t>
            </w:r>
          </w:p>
        </w:tc>
        <w:tc>
          <w:tcPr>
            <w:tcW w:w="740" w:type="dxa"/>
            <w:vAlign w:val="center"/>
          </w:tcPr>
          <w:p>
            <w:pPr>
              <w:spacing w:line="300" w:lineRule="exact"/>
              <w:jc w:val="center"/>
              <w:rPr>
                <w:rFonts w:ascii="仿宋_GB2312" w:eastAsia="仿宋_GB2312" w:cs="Times New Roman"/>
                <w:sz w:val="28"/>
                <w:szCs w:val="28"/>
              </w:rPr>
            </w:pPr>
          </w:p>
        </w:tc>
        <w:tc>
          <w:tcPr>
            <w:tcW w:w="801" w:type="dxa"/>
            <w:vAlign w:val="center"/>
          </w:tcPr>
          <w:p>
            <w:pPr>
              <w:spacing w:line="300" w:lineRule="exact"/>
              <w:jc w:val="center"/>
              <w:rPr>
                <w:rFonts w:ascii="仿宋_GB2312" w:eastAsia="仿宋_GB2312" w:cs="Times New Roman"/>
                <w:sz w:val="28"/>
                <w:szCs w:val="28"/>
              </w:rPr>
            </w:pPr>
          </w:p>
        </w:tc>
        <w:tc>
          <w:tcPr>
            <w:tcW w:w="801" w:type="dxa"/>
            <w:vAlign w:val="center"/>
          </w:tcPr>
          <w:p>
            <w:pPr>
              <w:spacing w:line="300" w:lineRule="exact"/>
              <w:jc w:val="center"/>
              <w:rPr>
                <w:rFonts w:ascii="仿宋_GB2312" w:eastAsia="仿宋_GB2312" w:cs="Times New Roman"/>
                <w:sz w:val="28"/>
                <w:szCs w:val="28"/>
              </w:rPr>
            </w:pPr>
          </w:p>
        </w:tc>
        <w:tc>
          <w:tcPr>
            <w:tcW w:w="740" w:type="dxa"/>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6"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办公经费</w:t>
            </w:r>
          </w:p>
        </w:tc>
        <w:tc>
          <w:tcPr>
            <w:tcW w:w="977"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2.8</w:t>
            </w:r>
          </w:p>
        </w:tc>
        <w:tc>
          <w:tcPr>
            <w:tcW w:w="798"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制冷空调设备</w:t>
            </w:r>
          </w:p>
        </w:tc>
        <w:tc>
          <w:tcPr>
            <w:tcW w:w="1486"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A020523</w:t>
            </w:r>
          </w:p>
        </w:tc>
        <w:tc>
          <w:tcPr>
            <w:tcW w:w="798" w:type="dxa"/>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台</w:t>
            </w:r>
          </w:p>
        </w:tc>
        <w:tc>
          <w:tcPr>
            <w:tcW w:w="798"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8</w:t>
            </w:r>
          </w:p>
        </w:tc>
        <w:tc>
          <w:tcPr>
            <w:tcW w:w="820"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0.35</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2.8</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2.8</w:t>
            </w:r>
          </w:p>
        </w:tc>
        <w:tc>
          <w:tcPr>
            <w:tcW w:w="922" w:type="dxa"/>
            <w:vAlign w:val="center"/>
          </w:tcPr>
          <w:p>
            <w:pPr>
              <w:spacing w:line="300" w:lineRule="exact"/>
              <w:jc w:val="center"/>
              <w:rPr>
                <w:rFonts w:ascii="仿宋_GB2312" w:eastAsia="仿宋_GB2312" w:cs="Times New Roman"/>
                <w:sz w:val="28"/>
                <w:szCs w:val="28"/>
              </w:rPr>
            </w:pPr>
            <w:r>
              <w:rPr>
                <w:rFonts w:ascii="仿宋_GB2312" w:eastAsia="仿宋_GB2312" w:cs="Times New Roman"/>
                <w:sz w:val="28"/>
                <w:szCs w:val="28"/>
              </w:rPr>
              <w:t>2.8</w:t>
            </w:r>
          </w:p>
        </w:tc>
        <w:tc>
          <w:tcPr>
            <w:tcW w:w="740" w:type="dxa"/>
            <w:vAlign w:val="center"/>
          </w:tcPr>
          <w:p>
            <w:pPr>
              <w:spacing w:line="300" w:lineRule="exact"/>
              <w:jc w:val="center"/>
              <w:rPr>
                <w:rFonts w:ascii="仿宋_GB2312" w:eastAsia="仿宋_GB2312" w:cs="Times New Roman"/>
                <w:sz w:val="28"/>
                <w:szCs w:val="28"/>
              </w:rPr>
            </w:pPr>
          </w:p>
        </w:tc>
        <w:tc>
          <w:tcPr>
            <w:tcW w:w="801" w:type="dxa"/>
            <w:vAlign w:val="center"/>
          </w:tcPr>
          <w:p>
            <w:pPr>
              <w:spacing w:line="300" w:lineRule="exact"/>
              <w:jc w:val="center"/>
              <w:rPr>
                <w:rFonts w:ascii="仿宋_GB2312" w:eastAsia="仿宋_GB2312" w:cs="Times New Roman"/>
                <w:sz w:val="28"/>
                <w:szCs w:val="28"/>
              </w:rPr>
            </w:pPr>
          </w:p>
        </w:tc>
        <w:tc>
          <w:tcPr>
            <w:tcW w:w="801" w:type="dxa"/>
            <w:vAlign w:val="center"/>
          </w:tcPr>
          <w:p>
            <w:pPr>
              <w:spacing w:line="300" w:lineRule="exact"/>
              <w:jc w:val="center"/>
              <w:rPr>
                <w:rFonts w:ascii="仿宋_GB2312" w:eastAsia="仿宋_GB2312" w:cs="Times New Roman"/>
                <w:sz w:val="28"/>
                <w:szCs w:val="28"/>
              </w:rPr>
            </w:pPr>
          </w:p>
        </w:tc>
        <w:tc>
          <w:tcPr>
            <w:tcW w:w="740" w:type="dxa"/>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黑体" w:eastAsia="黑体" w:cs="宋体"/>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p>
    <w:p>
      <w:pPr>
        <w:widowControl/>
        <w:spacing w:line="360" w:lineRule="atLeast"/>
        <w:ind w:firstLine="640" w:firstLineChars="200"/>
        <w:jc w:val="left"/>
        <w:rPr>
          <w:rFonts w:ascii="仿宋_GB2312" w:eastAsia="仿宋_GB2312" w:cs="宋体"/>
          <w:color w:val="000000"/>
          <w:kern w:val="0"/>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广阳区建设局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235.7911</w:t>
      </w:r>
      <w:r>
        <w:rPr>
          <w:rFonts w:hint="eastAsia" w:ascii="仿宋_GB2312" w:eastAsia="仿宋_GB2312" w:cs="宋体"/>
          <w:color w:val="000000"/>
          <w:kern w:val="0"/>
          <w:sz w:val="32"/>
          <w:szCs w:val="32"/>
        </w:rPr>
        <w:t>万元，</w:t>
      </w:r>
      <w:r>
        <w:rPr>
          <w:rFonts w:ascii="Times New Roman" w:hAnsi="Times New Roman" w:eastAsia="仿宋_GB2312" w:cs="Times New Roman"/>
          <w:sz w:val="32"/>
          <w:szCs w:val="32"/>
        </w:rPr>
        <w:t>本年度我部门拟购置固定资产主要为计算机设备、空调、</w:t>
      </w:r>
      <w:r>
        <w:rPr>
          <w:rFonts w:hint="eastAsia" w:ascii="Times New Roman" w:hAnsi="Times New Roman" w:eastAsia="仿宋_GB2312" w:cs="Times New Roman"/>
          <w:sz w:val="32"/>
          <w:szCs w:val="32"/>
          <w:lang w:eastAsia="zh-CN"/>
        </w:rPr>
        <w:t>清洁卫生车辆</w:t>
      </w:r>
      <w:r>
        <w:rPr>
          <w:rFonts w:ascii="Times New Roman" w:hAnsi="Times New Roman" w:eastAsia="仿宋_GB2312" w:cs="Times New Roman"/>
          <w:sz w:val="32"/>
          <w:szCs w:val="32"/>
        </w:rPr>
        <w:t>等，已列入政府采购预算。详见下表。</w:t>
      </w:r>
    </w:p>
    <w:tbl>
      <w:tblPr>
        <w:tblStyle w:val="4"/>
        <w:tblW w:w="10400" w:type="dxa"/>
        <w:jc w:val="center"/>
        <w:tblCellSpacing w:w="0" w:type="dxa"/>
        <w:tblLayout w:type="fixed"/>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40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0" w:type="dxa"/>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ascii="仿宋_GB2312" w:eastAsia="仿宋_GB2312" w:cs="宋体"/>
                <w:kern w:val="0"/>
                <w:sz w:val="28"/>
                <w:szCs w:val="28"/>
              </w:rPr>
              <w:t>601</w:t>
            </w:r>
            <w:r>
              <w:rPr>
                <w:rFonts w:hint="eastAsia" w:ascii="仿宋_GB2312" w:eastAsia="仿宋_GB2312" w:cs="宋体"/>
                <w:b/>
                <w:bCs/>
                <w:kern w:val="0"/>
                <w:sz w:val="28"/>
                <w:szCs w:val="28"/>
              </w:rPr>
              <w:t>廊坊市广阳区建设局</w:t>
            </w:r>
          </w:p>
        </w:tc>
        <w:tc>
          <w:tcPr>
            <w:tcW w:w="3790" w:type="dxa"/>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2017</w:t>
            </w:r>
            <w:r>
              <w:rPr>
                <w:rFonts w:hint="eastAsia" w:ascii="仿宋_GB2312" w:eastAsia="仿宋_GB2312" w:cs="宋体"/>
                <w:kern w:val="0"/>
                <w:sz w:val="28"/>
                <w:szCs w:val="28"/>
              </w:rPr>
              <w:t>年</w:t>
            </w:r>
            <w:r>
              <w:rPr>
                <w:rFonts w:ascii="仿宋_GB2312" w:eastAsia="仿宋_GB2312" w:cs="宋体"/>
                <w:kern w:val="0"/>
                <w:sz w:val="28"/>
                <w:szCs w:val="28"/>
              </w:rPr>
              <w:t>12</w:t>
            </w:r>
            <w:r>
              <w:rPr>
                <w:rFonts w:hint="eastAsia" w:ascii="仿宋_GB2312" w:eastAsia="仿宋_GB2312" w:cs="宋体"/>
                <w:kern w:val="0"/>
                <w:sz w:val="28"/>
                <w:szCs w:val="28"/>
              </w:rPr>
              <w:t>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235.7911</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1099</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63.5151</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1099</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63.5151</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12</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88.6400</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83.6360</w:t>
            </w:r>
          </w:p>
        </w:tc>
      </w:tr>
    </w:tbl>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八、名词解释</w:t>
      </w:r>
    </w:p>
    <w:p>
      <w:pPr>
        <w:widowControl/>
        <w:spacing w:line="360" w:lineRule="atLeast"/>
        <w:ind w:firstLine="627" w:firstLineChars="196"/>
        <w:jc w:val="left"/>
        <w:rPr>
          <w:rFonts w:ascii="仿宋_GB2312" w:eastAsia="仿宋_GB2312" w:cs="宋体"/>
          <w:color w:val="000000"/>
          <w:kern w:val="0"/>
          <w:sz w:val="32"/>
          <w:szCs w:val="32"/>
        </w:rPr>
      </w:pPr>
      <w:r>
        <w:rPr>
          <w:rFonts w:ascii="仿宋_GB2312" w:eastAsia="仿宋_GB2312" w:cs="宋体"/>
          <w:color w:val="000000"/>
          <w:kern w:val="0"/>
          <w:sz w:val="32"/>
          <w:szCs w:val="32"/>
        </w:rPr>
        <w:t>1</w:t>
      </w:r>
      <w:r>
        <w:rPr>
          <w:rFonts w:hint="eastAsia" w:ascii="仿宋_GB2312" w:eastAsia="仿宋_GB2312" w:cs="宋体"/>
          <w:color w:val="000000"/>
          <w:kern w:val="0"/>
          <w:sz w:val="32"/>
          <w:szCs w:val="32"/>
        </w:rPr>
        <w:t>、一般公共预算拨款收入：指市级财政当年拨付的资金。</w:t>
      </w:r>
    </w:p>
    <w:p>
      <w:pPr>
        <w:widowControl/>
        <w:spacing w:line="360" w:lineRule="atLeast"/>
        <w:ind w:firstLine="627" w:firstLineChars="196"/>
        <w:jc w:val="left"/>
        <w:rPr>
          <w:rFonts w:ascii="黑体" w:eastAsia="黑体" w:cs="宋体"/>
          <w:b/>
          <w:bCs/>
          <w:color w:val="000000"/>
          <w:kern w:val="0"/>
          <w:sz w:val="32"/>
          <w:szCs w:val="32"/>
        </w:rPr>
      </w:pPr>
      <w:r>
        <w:rPr>
          <w:rFonts w:ascii="仿宋_GB2312" w:eastAsia="仿宋_GB2312" w:cs="宋体"/>
          <w:color w:val="000000"/>
          <w:kern w:val="0"/>
          <w:sz w:val="32"/>
          <w:szCs w:val="32"/>
        </w:rPr>
        <w:t>2</w:t>
      </w:r>
      <w:r>
        <w:rPr>
          <w:rFonts w:hint="eastAsia" w:ascii="仿宋_GB2312" w:eastAsia="仿宋_GB2312" w:cs="宋体"/>
          <w:color w:val="000000"/>
          <w:kern w:val="0"/>
          <w:sz w:val="32"/>
          <w:szCs w:val="32"/>
        </w:rPr>
        <w:t>、事业收入：指事业单位开展专业业务活动及辅助活动所取得的收入。</w:t>
      </w:r>
    </w:p>
    <w:p>
      <w:pPr>
        <w:widowControl/>
        <w:spacing w:line="360" w:lineRule="atLeast"/>
        <w:ind w:firstLine="627" w:firstLineChars="196"/>
        <w:jc w:val="left"/>
        <w:rPr>
          <w:rFonts w:ascii="黑体" w:eastAsia="黑体" w:cs="宋体"/>
          <w:b/>
          <w:bCs/>
          <w:color w:val="000000"/>
          <w:kern w:val="0"/>
          <w:sz w:val="32"/>
          <w:szCs w:val="32"/>
        </w:rPr>
      </w:pPr>
      <w:r>
        <w:rPr>
          <w:rFonts w:ascii="仿宋_GB2312" w:eastAsia="仿宋_GB2312" w:cs="宋体"/>
          <w:color w:val="000000"/>
          <w:kern w:val="0"/>
          <w:sz w:val="32"/>
          <w:szCs w:val="32"/>
        </w:rPr>
        <w:t>3</w:t>
      </w:r>
      <w:r>
        <w:rPr>
          <w:rFonts w:hint="eastAsia" w:ascii="仿宋_GB2312" w:eastAsia="仿宋_GB2312" w:cs="宋体"/>
          <w:color w:val="000000"/>
          <w:kern w:val="0"/>
          <w:sz w:val="32"/>
          <w:szCs w:val="32"/>
        </w:rPr>
        <w:t>、其他收入：指除上述“财政拨款收入”、“事业收入”等以外的收入。主要是按规定动用的租房收入、存款利息收入等。</w:t>
      </w:r>
    </w:p>
    <w:p>
      <w:pPr>
        <w:widowControl/>
        <w:spacing w:line="360" w:lineRule="atLeast"/>
        <w:ind w:firstLine="627" w:firstLineChars="196"/>
        <w:jc w:val="left"/>
        <w:rPr>
          <w:rFonts w:ascii="仿宋_GB2312" w:eastAsia="仿宋_GB2312" w:cs="宋体"/>
          <w:color w:val="000000"/>
          <w:kern w:val="0"/>
          <w:sz w:val="32"/>
          <w:szCs w:val="32"/>
        </w:rPr>
      </w:pPr>
      <w:r>
        <w:rPr>
          <w:rFonts w:ascii="仿宋_GB2312" w:eastAsia="仿宋_GB2312" w:cs="宋体"/>
          <w:color w:val="000000"/>
          <w:kern w:val="0"/>
          <w:sz w:val="32"/>
          <w:szCs w:val="32"/>
        </w:rPr>
        <w:t>4</w:t>
      </w:r>
      <w:r>
        <w:rPr>
          <w:rFonts w:hint="eastAsia" w:ascii="仿宋_GB2312" w:eastAsia="仿宋_GB2312" w:cs="宋体"/>
          <w:color w:val="000000"/>
          <w:kern w:val="0"/>
          <w:sz w:val="32"/>
          <w:szCs w:val="32"/>
        </w:rPr>
        <w:t>、基本支出：指为保障机构正常运转、完成日常工作任务而发生的人员支出和公用支出。</w:t>
      </w:r>
    </w:p>
    <w:p>
      <w:pPr>
        <w:widowControl/>
        <w:spacing w:line="360" w:lineRule="atLeast"/>
        <w:ind w:firstLine="627" w:firstLineChars="196"/>
        <w:jc w:val="left"/>
        <w:rPr>
          <w:rFonts w:ascii="黑体" w:eastAsia="黑体" w:cs="宋体"/>
          <w:b/>
          <w:bCs/>
          <w:color w:val="000000"/>
          <w:kern w:val="0"/>
          <w:sz w:val="32"/>
          <w:szCs w:val="32"/>
        </w:rPr>
      </w:pPr>
      <w:r>
        <w:rPr>
          <w:rFonts w:ascii="仿宋_GB2312" w:eastAsia="仿宋_GB2312" w:cs="宋体"/>
          <w:color w:val="000000"/>
          <w:kern w:val="0"/>
          <w:sz w:val="32"/>
          <w:szCs w:val="32"/>
        </w:rPr>
        <w:t>5</w:t>
      </w:r>
      <w:r>
        <w:rPr>
          <w:rFonts w:hint="eastAsia" w:ascii="仿宋_GB2312" w:eastAsia="仿宋_GB2312" w:cs="宋体"/>
          <w:color w:val="000000"/>
          <w:kern w:val="0"/>
          <w:sz w:val="32"/>
          <w:szCs w:val="32"/>
        </w:rPr>
        <w:t>、项目支出：指在基本支出之外为完成特定行政任务和事业发展目标所发生的支出。</w:t>
      </w:r>
    </w:p>
    <w:p>
      <w:pPr>
        <w:widowControl/>
        <w:spacing w:line="360" w:lineRule="atLeast"/>
        <w:ind w:left="160" w:leftChars="76" w:firstLine="480" w:firstLineChars="150"/>
        <w:jc w:val="left"/>
        <w:rPr>
          <w:rFonts w:ascii="仿宋_GB2312" w:eastAsia="仿宋_GB2312" w:cs="宋体"/>
          <w:color w:val="000000"/>
          <w:kern w:val="0"/>
          <w:sz w:val="32"/>
          <w:szCs w:val="32"/>
        </w:rPr>
      </w:pPr>
      <w:r>
        <w:rPr>
          <w:rFonts w:ascii="仿宋_GB2312" w:eastAsia="仿宋_GB2312" w:cs="宋体"/>
          <w:color w:val="000000"/>
          <w:kern w:val="0"/>
          <w:sz w:val="32"/>
          <w:szCs w:val="32"/>
        </w:rPr>
        <w:t>6</w:t>
      </w:r>
      <w:r>
        <w:rPr>
          <w:rFonts w:hint="eastAsia" w:ascii="仿宋_GB2312" w:eastAsia="仿宋_GB2312" w:cs="宋体"/>
          <w:color w:val="000000"/>
          <w:kern w:val="0"/>
          <w:sz w:val="32"/>
          <w:szCs w:val="32"/>
        </w:rPr>
        <w:t>、上缴上级支出：指下级单位上缴上级的支出。</w:t>
      </w:r>
    </w:p>
    <w:p>
      <w:pPr>
        <w:widowControl/>
        <w:spacing w:line="360" w:lineRule="atLeast"/>
        <w:ind w:left="160" w:leftChars="76" w:firstLine="480" w:firstLineChars="150"/>
        <w:jc w:val="left"/>
        <w:rPr>
          <w:rFonts w:ascii="仿宋_GB2312" w:eastAsia="仿宋_GB2312" w:cs="宋体"/>
          <w:color w:val="000000"/>
          <w:kern w:val="0"/>
          <w:sz w:val="32"/>
          <w:szCs w:val="32"/>
        </w:rPr>
      </w:pP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360" w:lineRule="atLeast"/>
        <w:ind w:left="160" w:leftChars="76" w:firstLine="480" w:firstLineChars="150"/>
        <w:jc w:val="left"/>
        <w:rPr>
          <w:rFonts w:ascii="仿宋_GB2312" w:eastAsia="仿宋_GB2312" w:cs="宋体"/>
          <w:color w:val="000000"/>
          <w:kern w:val="0"/>
          <w:sz w:val="32"/>
          <w:szCs w:val="32"/>
        </w:rPr>
      </w:pP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360" w:lineRule="atLeast"/>
        <w:ind w:left="790" w:leftChars="76" w:hanging="630" w:hangingChars="196"/>
        <w:jc w:val="left"/>
        <w:rPr>
          <w:rFonts w:ascii="黑体" w:eastAsia="黑体" w:cs="宋体"/>
          <w:b/>
          <w:bCs/>
          <w:color w:val="000000"/>
          <w:kern w:val="0"/>
          <w:sz w:val="32"/>
          <w:szCs w:val="32"/>
        </w:rPr>
      </w:pPr>
      <w:r>
        <w:rPr>
          <w:rFonts w:hint="eastAsia" w:ascii="黑体" w:eastAsia="黑体" w:cs="宋体"/>
          <w:b/>
          <w:bCs/>
          <w:color w:val="000000"/>
          <w:kern w:val="0"/>
          <w:sz w:val="32"/>
          <w:szCs w:val="32"/>
        </w:rPr>
        <w:t>九、其他需要说明的事项</w:t>
      </w:r>
    </w:p>
    <w:p>
      <w:pPr>
        <w:widowControl/>
        <w:spacing w:line="360" w:lineRule="atLeast"/>
        <w:ind w:left="785" w:leftChars="374"/>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无其他需要说明的事项。</w:t>
      </w:r>
      <w:r>
        <w:rPr>
          <w:rFonts w:ascii="仿宋_GB2312" w:eastAsia="仿宋_GB2312" w:cs="宋体"/>
          <w:color w:val="000000"/>
          <w:kern w:val="0"/>
          <w:sz w:val="32"/>
          <w:szCs w:val="32"/>
        </w:rPr>
        <w:t> </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133"/>
    <w:rsid w:val="00023C2E"/>
    <w:rsid w:val="000938B7"/>
    <w:rsid w:val="000D3177"/>
    <w:rsid w:val="0010220E"/>
    <w:rsid w:val="0016555F"/>
    <w:rsid w:val="001C4B6E"/>
    <w:rsid w:val="001E58AB"/>
    <w:rsid w:val="00201F67"/>
    <w:rsid w:val="0026067A"/>
    <w:rsid w:val="0026584A"/>
    <w:rsid w:val="002A4566"/>
    <w:rsid w:val="002B7CF7"/>
    <w:rsid w:val="002C0774"/>
    <w:rsid w:val="003217BC"/>
    <w:rsid w:val="00357953"/>
    <w:rsid w:val="003675AB"/>
    <w:rsid w:val="003924D3"/>
    <w:rsid w:val="003B1133"/>
    <w:rsid w:val="0042625C"/>
    <w:rsid w:val="004F42F1"/>
    <w:rsid w:val="00517C52"/>
    <w:rsid w:val="00524480"/>
    <w:rsid w:val="0052706A"/>
    <w:rsid w:val="00553BD5"/>
    <w:rsid w:val="005600F4"/>
    <w:rsid w:val="005942F4"/>
    <w:rsid w:val="005C60EA"/>
    <w:rsid w:val="005F15F0"/>
    <w:rsid w:val="005F35CB"/>
    <w:rsid w:val="00600D94"/>
    <w:rsid w:val="00613D7D"/>
    <w:rsid w:val="0063252E"/>
    <w:rsid w:val="00677EEA"/>
    <w:rsid w:val="006820E3"/>
    <w:rsid w:val="007344EF"/>
    <w:rsid w:val="0078417E"/>
    <w:rsid w:val="007C6CF5"/>
    <w:rsid w:val="00842766"/>
    <w:rsid w:val="008C6383"/>
    <w:rsid w:val="00912C65"/>
    <w:rsid w:val="00A8060F"/>
    <w:rsid w:val="00AD21B1"/>
    <w:rsid w:val="00B13033"/>
    <w:rsid w:val="00BB2440"/>
    <w:rsid w:val="00C238EB"/>
    <w:rsid w:val="00C42940"/>
    <w:rsid w:val="00C429E7"/>
    <w:rsid w:val="00CB3334"/>
    <w:rsid w:val="00CE632D"/>
    <w:rsid w:val="00CF46CC"/>
    <w:rsid w:val="00CF5673"/>
    <w:rsid w:val="00DC5A76"/>
    <w:rsid w:val="00DF495F"/>
    <w:rsid w:val="00EE4930"/>
    <w:rsid w:val="00EF1161"/>
    <w:rsid w:val="00F0282A"/>
    <w:rsid w:val="00F03230"/>
    <w:rsid w:val="00F20DFF"/>
    <w:rsid w:val="00F71CEA"/>
    <w:rsid w:val="0AAA3913"/>
    <w:rsid w:val="47DC76EA"/>
    <w:rsid w:val="68E002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customStyle="1" w:styleId="7">
    <w:name w:val="Header Char"/>
    <w:basedOn w:val="5"/>
    <w:link w:val="3"/>
    <w:semiHidden/>
    <w:locked/>
    <w:uiPriority w:val="99"/>
    <w:rPr>
      <w:rFonts w:ascii="Calibri" w:hAnsi="Calibri" w:cs="Arial"/>
      <w:sz w:val="18"/>
      <w:szCs w:val="18"/>
    </w:rPr>
  </w:style>
  <w:style w:type="character" w:customStyle="1" w:styleId="8">
    <w:name w:val="Footer Char"/>
    <w:basedOn w:val="5"/>
    <w:link w:val="2"/>
    <w:semiHidden/>
    <w:qFormat/>
    <w:locked/>
    <w:uiPriority w:val="99"/>
    <w:rPr>
      <w:rFonts w:ascii="Calibri" w:hAnsi="Calibri" w:cs="Arial"/>
      <w:sz w:val="18"/>
      <w:szCs w:val="18"/>
    </w:rPr>
  </w:style>
  <w:style w:type="paragraph" w:customStyle="1" w:styleId="9">
    <w:name w:val="Default"/>
    <w:next w:val="3"/>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22</Pages>
  <Words>918</Words>
  <Characters>5235</Characters>
  <Lines>0</Lines>
  <Paragraphs>0</Paragraphs>
  <TotalTime>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2024-01-18T01:49:37Z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151EE3860E5C40C9ABA05CC9AF851C36</vt:lpwstr>
  </property>
</Properties>
</file>