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廊坊市广阳区民政局2017年部门预算信息公开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bCs/>
          <w:kern w:val="0"/>
          <w:sz w:val="32"/>
          <w:szCs w:val="32"/>
        </w:rPr>
        <w:t>廊坊市广阳区民政局</w:t>
      </w:r>
      <w:r>
        <w:rPr>
          <w:rFonts w:hint="eastAsia" w:ascii="仿宋_GB2312" w:eastAsia="仿宋_GB2312"/>
          <w:sz w:val="32"/>
          <w:szCs w:val="32"/>
        </w:rPr>
        <w:t xml:space="preserve"> 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1、负责城乡低保工作。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2、城乡医疗救助工作。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3、全区各类优抚对象抚恤金的发放。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4、退伍安置工作。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5、救灾救济工作。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6、孤儿救助工作。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7、社会团体、民办非企业单位的审批、年检工作。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8、农村幸福院的建设。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9、农村五保供养工作。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10、光荣院、干休所的管理工作。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11、地名、区划工作。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12、村委会换届选举工作。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13、地名普查工作。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14、婚姻登记工作。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15、勘界工作。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16、老龄工作。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17、村委会换届选举工作。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18、支出型贫困家庭救助工作。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19、义务兵家属优待。</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20、城乡临时救助。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21、福彩助学。</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22、爱心慈善超市建设和管理工作。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23、敬老院管理工作。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24、流浪乞讨人员救助。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25、双拥工作。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26、低收入家庭经济状况核查工作。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部门机构设置情况</w:t>
      </w:r>
    </w:p>
    <w:tbl>
      <w:tblPr>
        <w:tblStyle w:val="4"/>
        <w:tblW w:w="1132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500"/>
        <w:gridCol w:w="1417"/>
        <w:gridCol w:w="1417"/>
        <w:gridCol w:w="2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55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9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50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廊坊市广阳区民政局</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99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50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廊坊市广阳区敬老院</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9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50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廊坊市广阳区光荣院</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9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50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廊坊市广阳区军队离休退休干部干休所</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9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hAnsi="宋体"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2017年预算收入2095.51万元，其中：一般公共预算收入2095.51万元，政府性基金收入0万元。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2017年支出预算2095.51万元，其中基本支出1807.51万元，包括人员经费和日常公用经费；项目支出288万元，主要为省级优抚事业补助经费和均衡性转移支付。</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2017年预算收支安排2095.51万元，较2016年预算减少2326.04万元，其中：基本支出增加346.96万元，主要为增加人员经费支出；项目支出减少2703万元，主要为财力有限预算未安排。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2017年预算安排我部门机关运行经费19.84万元，其中办公经费4.84万元，其他业务费</w:t>
      </w:r>
      <w:r>
        <w:rPr>
          <w:rFonts w:hint="eastAsia" w:ascii="仿宋_GB2312" w:eastAsia="仿宋_GB2312" w:cs="宋体"/>
          <w:b/>
          <w:bCs/>
          <w:color w:val="000000"/>
          <w:kern w:val="0"/>
          <w:sz w:val="32"/>
          <w:szCs w:val="32"/>
        </w:rPr>
        <w:t>15万元。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一、各类抚恤金及时足额发放到位。</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二、退伍人员自谋职业率达到100%，提高自谋职业金，和廊坊市、安次区保持同一水平。</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三、城乡低保实现应保尽保，人均补差达到廊坊市中等水平。</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四、城乡低保户各项补贴及时发放到位。</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五、高龄老人补贴及时、足额发放到位。</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六、农村五保集中供养率达到85%。</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七、孤儿基本保障率达到100%。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八、婚姻登记合格率过到100％。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九、社会团体、民办非企业年检、审批合格率达到100%。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十、救灾工作及时，保证受灾群众的基本生活。</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十一、达到地名的后期管理维护工作标准。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十二、完成平安边界建设工作任务。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十三、城乡困难群众各类救助及时合规，临时救助工作及时。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十四、城乡困难群众医疗救助及时。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十五、农村互助幸福院建设保质保量完成。</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十六、婚姻登记标准化建设。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十七、支出型贫困家庭救助工作及时。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十八、低收入家庭经济核查工作达到100%。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十九、流浪乞讨人员救助工作及时。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二十、行政区域界线勘察达到目标。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准确核查认定低保家庭经济状况保障困难群众获得大病救助基金，降低困难居民医疗负担。保障有刚性支出型家庭基本生活保障困难群众获得医疗救助，降低困难居民医疗负担。发放困难六十年代精减退职老职工、城镇民政对象退职救济费，解决他们的生活困难。保障困难群众获得医疗救助，降低困难居民医疗负担。</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社会福利政策及管理：加快农村互助幸福远建设实现我区农村老人老有所养，老有所依，老有所乐，老有所为的目标。实现高龄补贴全覆盖。及时办理老龄证。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全市使用统一规范的火化证和骨灰安放证。</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双拥优抚安置政策及管理：优抚对象的生活、住房、医疗困难得到有效解决，义务兵家庭优待工作全面落实。对抚恤金发放工作全面落实为义务兵发放家庭优待金、为进疆进藏义务兵发放特别优待金及时足额落实到位每年发放一次定额军免药费落实到位为参战、涉核退役人员体检工作全部落实到位阳光安置，保障退役士兵合法权益；加强职业教育和技能培训；按时足额发放各类经济补助。全面落实军队离退休干部、退休士官和军队无军籍退休退职职工的政治和生活待遇。优抚医院、光荣院、军供站达到国家建设标准；在院休病(养）员医疗和生活补助标准不低于全国平均水平；确保为过往军队人员提供生活保障；烈士纪念设施爱国主义教育功能日益完善，烈士褒扬系统信息完整。慰问全区驻军和重点优抚对象，开展双拥系列活动，宣传双拥成果，积极营造全县双拥工作氛围按规定将双拥工作经费和办公经费足额列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防灾减灾救灾：提高公民避灾自救能力和防灾减灾意识，提升全县重大自然灾害防御能力；保证救灾应急预案科学性和实效性；完善县、市、县三级物资储备网络；完善5级灾害信息员网络，提高专业队伍业务素质，提升救灾科技支持能力；县级救灾物资储备能确保启动一次县级救灾预案三级响应所需救灾物资；推进以农房保险为主要险种的救灾保险，提高抗灾水平。组织协调紧急转移安置灾民，确保受灾群众妥善得到安置，确保灾民吃、穿、住、衣等基本生活，保证突发灾害后救灾物资及时运达灾区。组织民房恢复重建及灾民生活救助，保证受灾群众基本生活得到及时救助。</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3"/>
        <w:gridCol w:w="1020"/>
        <w:gridCol w:w="1148"/>
        <w:gridCol w:w="1148"/>
        <w:gridCol w:w="1031"/>
        <w:gridCol w:w="1310"/>
        <w:gridCol w:w="1150"/>
        <w:gridCol w:w="1150"/>
        <w:gridCol w:w="9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548廊坊市广阳区民政局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社会救助政策及管理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承担社会救助体系建设，负责城乡居民最低生活保障、五保供养、医疗救助。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完善城乡社会救助制度，实施分类救助，应保尽保,动态管理。对其他低收入群体进行救助，维持社会稳定。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城乡居民最低生活保障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负责符合条件的城乡居民最低生活保障工作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实行动态管理，做到应保尽保、应退尽退。</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城乡居民低保保障率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农村五保供养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负责农村五保户的集中供养和分散供养工作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农村五保供养标准、集中供养能力逐步提高。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五保供养保障率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临时救助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负责符合条件的城乡居民的临时生活救助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缓解意外事件对特殊困难家庭造成的生活困难。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生活救助到位率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医疗救助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负责城乡居民医疗救助工作。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保障困难群众获得医疗救助，降低困难居民医疗负担。</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参保资助率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报销比例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低保家庭核查认定</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负责全区低保家庭收入核定管理工作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准确核查认定低保家庭经济状况</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核实率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大病救助基金</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负责城乡重特大疾病救助工作。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保障困难群众获得大病救助基金，降低困难居民医疗负担。</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大病救助基金到位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支出型贫困家庭救助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负责符合条件的支出型家庭生活保障工作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保障有刚性支出型家庭基本生活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保障支出型家庭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城乡困难家庭补贴及慰问</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对辖区社救对象慰问活动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确保分散供养五保对象、低保对象以及敬老院过上温馨愉快的春节。</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取暖补贴发放到位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生活补贴发放到位</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春节慰问金（品）发放率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退职救济、城镇救济</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为六十年代精简退职职工发放40％退职救济，为城镇困难民政对象发放救济费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发放困难六十年代精减退职老职工、城镇民政对象退职救济费，解决他们的生活困难。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退职救济费、城镇救济费发放到位率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社会福利政策及管理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对残疾人、孤儿、流浪乞讨人员、未成年人等特殊群体权益保护，发展慈善事业，推进殡葬改革，发行福利彩票，促进老龄事业发展。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老年福利（养老服务体系建设）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负责单位聘任制工作人员的工资及保险缴纳、后勤保障等工作。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保证单位正常运转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农村互助幸福院建设奖补率。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实现高龄补贴全覆盖。及时办理老年证。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运转保障率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运转保障率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儿童福利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孤儿基本生活条件保障到位，保障在爱心家园集中供养孤儿的日常生活。</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孤儿基本生活条件保障到位，保障在爱心家园集中供养孤儿的日常生活。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孤儿基本生活保障率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残障人福利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指导县级推进慈善事业发展和慈善超市建设；负责县级福利企业认定工作；指导县级开展精神病福利机构建设。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切实保障慈善事业发展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按要求建设慈善差事个数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流浪乞讨人员救助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加强流浪乞讨人员救助管理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对申请救助且符合救助条件的人员全部实施救助。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应救人员的救助率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殡葬服务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推进殡葬设施更新改造；推进殡葬设备环保更新；推进惠民殡葬政策实施；推行生态安葬形式；规范殡仪服务管理；推进丧事简办；推行火化和丧俗改革；统一规范火化证和骨灰安放证。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殡葬设施和设备现代、节能、节地、环保，能够满足群众需求，改善生态环境；惠民殡葬政策普及全市特殊困难群体；生态安葬形式逐步提高；群众办理丧事文明节俭；全市使用统一规范的火化证和骨灰安放证。</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宣传活动覆盖率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双拥优抚安置政策及管理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204.00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组织区级拥军优属活动。组织对优抚对象的优待、抚恤的政策落实，负责区级转业士官、退役士兵及军队离退休干部、退休士官和军队无军籍退休退职职工接收安置工作。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优待抚恤</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为义务兵发放家庭优待金</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为参战、涉核退役人员体检工作全部落实到位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优抚对象生活抚恤足额兑现率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优抚对象医疗补助到位率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送医送药优抚对象满意率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残疾军人配备假肢等器具满意率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家属满意度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发放义务兵家庭优待金兑现率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发放进疆进藏义务兵特别优待金兑现率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为三属优抚对象发放军免药费兑现率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为8023部队等涉核部队退役人员发体检费兑现率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组织全区参战退役人员进行健康体检兑现率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复员退伍军人及军休安置</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194.00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负责军队离退休干部、退休士官和军队无军籍退休退职职工接收安置和服务管理工作；负责军队离退休干部服务管理机构的建设和管理工作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全面落实军队离退休干部、退休士官和军队无军籍退休退职职工的政治和生活待遇。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城镇退役士兵自谋职业金补助率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自主就业退役士兵一次性经济补助发放率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教育技能培训费补助率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1-4级伤病残购建房补助率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分配区直单位退役士兵待安置期间生活补助费发放率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军休干部医疗补助到位率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军休干部家属遗属医疗生活补助到位率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军队无军籍退休职工地方性津补贴到位率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县级军休服务机构补助经费到位率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落实军休干部政治生活待遇保障率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县级军休服务机构补助经费到位率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优抚事业单位能力建设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加快区级光荣院建设和维修改造，提高服务保障水平，确保优抚对象基本生活和医疗；负责烈士纪念设施的保护和管理。</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光荣院，在院休病(养）员医疗和生活补助标准不低于全国平均水平；确保为过往军队人员提供生活保障；烈士纪念设施爱国主义教育功能日益完善，烈士褒扬系统信息完整。</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机构运行效率，光荣院设施设备完好率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零散烈士纪念设施完好率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拥军优属慰问及双拥活动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双拥工作经费和办公经费列支</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按规定将双拥工作经费和办公经费足额列支。</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双拥模范城督导检查覆盖率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慰问驻地部队单位11个</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双拥经费列支兑现率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社会管理与服务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承担对社会组织的登记管理；负责县级行政区划、行政区域界线和地名管理工作；负责县级婚姻登记、涉外儿童收养登记和管理工作；组织指导基层政权和社区建设；推进社会工作人员队伍建设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推进全县社会组织健康发展，优化行政区划空间布局，提高登记质量，规范婚姻登记、收养登记业务，建立健全城乡基层群众自治组织，逐步实现社会工作者专业化、职业化。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社会组织管理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负责社会组织的评估标准制定及实施</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推进全区社会组织健康发展，提高社会组织的社会公信力，增强社会组织服务社会的能力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社会组织登记合法率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社会组织年检率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社会事务管理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负责县级行政区划、行政区域界线和地名管理工作，开展地名普查工作。进一步做好农村地名标志设置工作。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优化空间布局，为城镇化建设助航；促进边界地区的平安和和谐发展；为社会提供方便快捷的地名公共服务。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婚姻、收养登记合格率。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行政区划调整风险评估率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县级行政区域界线联检完成率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第二次全国地名普查数据准确率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准确率90%以上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准确率80%-90%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准确率70%-80%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准确率70%以下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农村地名标牌设置完成率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基层政权和社区建设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组织指导乡镇和基层群众自治组织培训；指导村（居）民委员会民主选举、民主决策、民主管理和民主监督，村务公开；</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建立健全城乡基层群众自治组织，在村（居）民委员会实行“四个民主”；按照农村社区建设实验全覆盖创建标准开展农村社区建设。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村民委员会换届选举率达到或超过上届水平。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开展农村社区建设的建制村到达全国平均水平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社会工作人才队伍建设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推进县级社会工作人才队伍建设和相关志愿者队伍建设。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以人才培养为基础，以人才使用为根本，以建立健全人才评价和激励机制为保障，逐步实现社会工作专业化、职业化。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社会工作专业人才登记率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防灾减灾救灾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组织协调县级防灾减灾救灾工作。组织核查并统一发布灾情。组织指导救灾捐赠工作，负责国内外救灾捐赠款物的接收管理和分配使用。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建设完善全县自然灾害救助应急体系。实施分类救助，保障受灾群众基本生活。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防灾减灾及救灾准备</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建设县级防灾减灾及救灾储备体系建设；开展应急避难场所建设；制订完善救灾应急预案，组织开展预案演练活动；承办县级救灾物资储备工作；开展灾害信息员体系和救灾装备建设；积极推进农房保险试点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公民避灾自救能力和防灾减灾意识，提升全县重大自然灾害防御能力；保证救灾应急预案科学性和实效性；完善县、市、县三级物资储备网络；完善10级灾害信息员网络，提高专业队伍业务素质，提升救灾科技支持能力；县级救灾物资储备能确保启动一次县级救灾预案三级响应所需救灾物资；推进以农房保险为主要险种的救灾保险，提高抗灾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年度避难场所建设数量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全国综合减灾示范社区创建数量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按照市和县救灾应急预案要求开展预案演练次数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物资保障受灾群众人数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农村住房保险理赔率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灾民救助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统计、汇总、核查、会商灾情，统一发布灾情；组织协调紧急转移安置灾民；承办救灾款物分配和监管，物资调运，组织民房恢复重建及灾民生活救助。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突发灾害报灾时效性和准确性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县级救灾物资运达灾区时间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24小时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36小时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救灾捐赠</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统计、汇总、核查、会商灾情，统一发布灾情；组织协调紧急转移安置灾民；承办救灾款物分配和监管，物资调运，组织民房恢复重建及灾民生活救助。</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救灾捐赠资金到位率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民政政务管理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确保辖区内民政系统及民政工作高效运转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组织和指导民政系统干部培训教育等工作。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确保本系统工作人员熟悉民政业务知识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运转保障率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机关人员参训比例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基层民政干部培训人数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b/>
                <w:bCs/>
                <w:color w:val="000000"/>
                <w:kern w:val="0"/>
                <w:sz w:val="28"/>
                <w:szCs w:val="28"/>
              </w:rPr>
              <w:t>廊坊市广阳区民政局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autoSpaceDE w:val="0"/>
        <w:autoSpaceDN w:val="0"/>
        <w:adjustRightInd w:val="0"/>
        <w:ind w:left="198" w:firstLine="560" w:firstLineChars="200"/>
        <w:jc w:val="center"/>
        <w:rPr>
          <w:rFonts w:ascii="仿宋_GB2312" w:eastAsia="仿宋_GB2312" w:cs="Times New Roman"/>
          <w:sz w:val="28"/>
          <w:szCs w:val="28"/>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我部门（含所属单位）上年末固定资产金额为462.92万元，我部门本年度无拟购置固定资产，详见下表。</w:t>
      </w:r>
    </w:p>
    <w:tbl>
      <w:tblPr>
        <w:tblStyle w:val="4"/>
        <w:tblW w:w="10242" w:type="dxa"/>
        <w:jc w:val="center"/>
        <w:tblCellSpacing w:w="0" w:type="dxa"/>
        <w:tblLayout w:type="autofit"/>
        <w:tblCellMar>
          <w:top w:w="0" w:type="dxa"/>
          <w:left w:w="0" w:type="dxa"/>
          <w:bottom w:w="0" w:type="dxa"/>
          <w:right w:w="0" w:type="dxa"/>
        </w:tblCellMar>
      </w:tblPr>
      <w:tblGrid>
        <w:gridCol w:w="4045"/>
        <w:gridCol w:w="2470"/>
        <w:gridCol w:w="3787"/>
      </w:tblGrid>
      <w:tr>
        <w:tblPrEx>
          <w:tblCellMar>
            <w:top w:w="0" w:type="dxa"/>
            <w:left w:w="0" w:type="dxa"/>
            <w:bottom w:w="0" w:type="dxa"/>
            <w:right w:w="0" w:type="dxa"/>
          </w:tblCellMar>
        </w:tblPrEx>
        <w:trPr>
          <w:trHeight w:val="705" w:hRule="atLeast"/>
          <w:tblCellSpacing w:w="0" w:type="dxa"/>
          <w:jc w:val="center"/>
        </w:trPr>
        <w:tc>
          <w:tcPr>
            <w:tcW w:w="10242"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7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廊坊市广阳区民政系统（汇总）</w:t>
            </w:r>
          </w:p>
        </w:tc>
        <w:tc>
          <w:tcPr>
            <w:tcW w:w="3767"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462.92</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5332</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226.02</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5332</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226.02</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46.33</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4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154.57</w:t>
            </w:r>
          </w:p>
        </w:tc>
      </w:tr>
    </w:tbl>
    <w:p>
      <w:pPr>
        <w:pStyle w:val="7"/>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C54AB3"/>
    <w:rsid w:val="00293931"/>
    <w:rsid w:val="008B692A"/>
    <w:rsid w:val="00B731F0"/>
    <w:rsid w:val="00B83EC6"/>
    <w:rsid w:val="00BB3670"/>
    <w:rsid w:val="00C54AB3"/>
    <w:rsid w:val="00C82F03"/>
    <w:rsid w:val="0CE3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78</Pages>
  <Words>1517</Words>
  <Characters>8653</Characters>
  <Lines>72</Lines>
  <Paragraphs>20</Paragraphs>
  <TotalTime>11</TotalTime>
  <ScaleCrop>false</ScaleCrop>
  <LinksUpToDate>false</LinksUpToDate>
  <CharactersWithSpaces>10150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2017-10-27T09:45:00Z</dcterms:created>
  <dc:creator>lenovo</dc:creator>
  <cp:lastModifiedBy>Administrator</cp:lastModifiedBy>
  <dcterms:modified xsi:type="dcterms:W3CDTF">2024-01-18T02:12:00Z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CBB0D8E26E4C447EB6D8079043FA87B4</vt:lpwstr>
  </property>
</Properties>
</file>