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廊坊市广阳区质量技术监督局2017年部门预算信息公开</w:t>
      </w:r>
    </w:p>
    <w:p>
      <w:pPr>
        <w:widowControl/>
        <w:spacing w:line="360" w:lineRule="atLeast"/>
        <w:jc w:val="center"/>
        <w:rPr>
          <w:rFonts w:ascii="方正小标宋简体" w:eastAsia="方正小标宋简体" w:cs="宋体"/>
          <w:color w:val="000000"/>
          <w:kern w:val="0"/>
          <w:sz w:val="44"/>
          <w:szCs w:val="44"/>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bookmarkStart w:id="0" w:name="_GoBack"/>
      <w:bookmarkEnd w:id="0"/>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质量技术监督局</w:t>
      </w:r>
      <w:r>
        <w:rPr>
          <w:rFonts w:hint="eastAsia" w:ascii="仿宋_GB2312" w:eastAsia="仿宋_GB2312" w:cs="宋体"/>
          <w:color w:val="000000"/>
          <w:kern w:val="0"/>
          <w:sz w:val="32"/>
          <w:szCs w:val="32"/>
        </w:rPr>
        <w:t>2017年部门预算公开如下：</w:t>
      </w:r>
    </w:p>
    <w:p>
      <w:pPr>
        <w:widowControl/>
        <w:numPr>
          <w:ilvl w:val="0"/>
          <w:numId w:val="1"/>
        </w:numPr>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部门职责及机构设置情况</w:t>
      </w:r>
    </w:p>
    <w:p>
      <w:pPr>
        <w:widowControl/>
        <w:spacing w:line="360" w:lineRule="atLeast"/>
        <w:ind w:left="64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1、负责拟订提高本辖区质量水平的发展规划及政策措施并组织实施，负责与质量技术监督有关的技术规范工作。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2、负责本辖区内质量宏观管理工作，拟订并组织实施当地质量发展规划，推进名牌发展战略，承担本辖区产品质量诚信体系建设工作。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负责本辖区产品质量监督工作,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统一管理本辖区计量工作，推行法定计量单位和国家计量制度，管理和监督地方计量标准和标准物质，依法管理计量器具，组织本地量值传递和比对工作，监督管理商品量、市场计量行为和计量仲裁检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7、承担本辖区食品包装材料、容器、食品生产经营工具等食品相关产品生产加工的质量安全监管及市场准入有关工作；按规定权限组织调查处理相关质量安全事故。</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8、承担综合管理本辖区锅炉、压力容器、压力管道、电梯、起重机械、客运索道、游乐设施、场（厂）内专用机动车辆等特种设备安全监察、监督工作的责任，监督检查高耗能特种设备节能标准的执行情况。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9、制定并组织实施本辖区质量技术监督事业发展、科技发展和技术机构建设规划，组织有关科研和技术引进工作。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10、承办区政府和市质量技术监督局交办的其他事项。</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3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59"/>
        <w:gridCol w:w="1328"/>
        <w:gridCol w:w="1559"/>
        <w:gridCol w:w="2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42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32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2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5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廊坊市广阳区质量技术监督局</w:t>
            </w:r>
          </w:p>
        </w:tc>
        <w:tc>
          <w:tcPr>
            <w:tcW w:w="132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23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二、部门预算安排的总体情况</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ind w:firstLine="321" w:firstLineChars="100"/>
        <w:jc w:val="left"/>
        <w:rPr>
          <w:rFonts w:ascii="楷体" w:eastAsia="楷体" w:cs="宋体"/>
          <w:b/>
          <w:bCs/>
          <w:color w:val="000000"/>
          <w:kern w:val="0"/>
          <w:sz w:val="32"/>
          <w:szCs w:val="32"/>
        </w:rPr>
      </w:pP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1、收入说明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2017年预算收入368.75万元，其中：一般公共预算收入368.75万元，政府性基金收入0万元。</w:t>
      </w:r>
    </w:p>
    <w:p>
      <w:pPr>
        <w:widowControl/>
        <w:spacing w:line="360" w:lineRule="atLeast"/>
        <w:ind w:firstLine="482" w:firstLineChars="150"/>
        <w:jc w:val="left"/>
        <w:rPr>
          <w:rFonts w:ascii="楷体" w:eastAsia="楷体" w:cs="宋体"/>
          <w:b/>
          <w:bCs/>
          <w:color w:val="000000"/>
          <w:kern w:val="0"/>
          <w:sz w:val="32"/>
          <w:szCs w:val="32"/>
        </w:rPr>
      </w:pPr>
      <w:r>
        <w:rPr>
          <w:rFonts w:hint="eastAsia" w:ascii="楷体" w:eastAsia="楷体" w:cs="宋体"/>
          <w:b/>
          <w:bCs/>
          <w:color w:val="000000"/>
          <w:kern w:val="0"/>
          <w:sz w:val="32"/>
          <w:szCs w:val="32"/>
        </w:rPr>
        <w:t>2、支出说明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2017年支出预算368.75万元，其中基本支出345.87万元，包括人员经费和日常公用经费；项目支出22.88万元，主要为质量技术监督专项资金。</w:t>
      </w:r>
    </w:p>
    <w:p>
      <w:pPr>
        <w:widowControl/>
        <w:spacing w:line="360" w:lineRule="atLeast"/>
        <w:ind w:firstLine="321" w:firstLineChars="100"/>
        <w:jc w:val="left"/>
        <w:rPr>
          <w:rFonts w:ascii="楷体" w:eastAsia="楷体" w:cs="宋体"/>
          <w:b/>
          <w:bCs/>
          <w:color w:val="000000"/>
          <w:kern w:val="0"/>
          <w:sz w:val="32"/>
          <w:szCs w:val="32"/>
        </w:rPr>
      </w:pP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3、比上年增减情况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2017年预算收支安排368.75万元，较2016年预算增加142.77万元，其中：基本支出增加172.29万元，主要为增加人员经费支出；项目支出减少29.52万元，主要为财力紧张预算未安排。</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2017年预算安排我部门机关运行经费1.51万元，其中办公经费1.21万元，其他业务费0.3万元。</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质量管理：推动当地政府积极开展质量兴区工作；建立完善企业质量信用档案数据库；推动民营企业积极参加“五个一”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强化获证食品相关产品企业日常监管，确保企业能够持续保持生产许可的要求；及时发现和查处违法案件；对监督检查中发现的问题和隐患要及时予以消除，全年不发生因食品相关产品质量问题导致的重大食品质量安全事故。</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标准化管理：积极引导企事业单位参与国家标准、行业标准和地方标准的制修订；开展采用国家标准和国外先进标准的认可和采标标志的使用；完成农业标准化示范区、服务标准化试点和标准化良好行为试点建设任务；鼓励和支持民营企业参与标准化工作；加强开展环境保护、节能减排相关标准化工作。加强标准制修订和实施工作，积极参与标准化活动，成立标准化工作综合协调机构，发挥好标准化示范试点作用，推进标准化工作上新台阶。</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计量管理：统一管理本辖区计量工作，推行法定计量单位和国家计量制度，管理和监督地方计量标准和标准物质，依法管理计量器具，组织本地量值传递和比对工作，监督管理商品量、市场计量行为和计量仲裁检定。</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质量监督：制定区本级监督抽查工作计划，建立监督抽查工作责任制，及时公开抽查结果；全面完成后处理工作，及时按照要求汇总上报后处理信息，后处理完成率达到100%；按照全省（市）联动监督抽查工作方案，组织本辖区的联动监督抽查工作。深化生产许可制度改革，强化后续监管。建立获证企业动态管理台账，底数清楚；对获证企业组织开展年度自查和抽查，制定自查工作方案，对应自查企业实施全覆盖；对获证企业进行专项检查和资质清查，发现问题及时解决处理并反馈信息；对获证企业实施分类监管。</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特种设备安全监察：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打假办案：加大区域性产品整治提升工作力度，着力解决突出问题，有效防范区域性质量安全事件。严格按要求开展“双打”、“质检利剑”等专项执法行动，不断提高专项行动的有效性。加大执法办案工作力度，严厉打击质量违法行为。</w:t>
      </w:r>
    </w:p>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廊坊市广阳区质量技术监督局职责分类绩效目标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1、负责拟订提高本辖区质量水平的发展规划及政策措施并组织实施，负责与质量技术监督有关的技术规范工作。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2、负责本辖区内质量宏观管理工作，拟订并组织实施当地质量发展规划，推进名牌发展战略，承担本辖区产品质量诚信体系建设工作。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负责本辖区产品质量监督工作,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统一管理本辖区计量工作，推行法定计量单位和国家计量制度，管理和监督地方计量标准和标准物质，依法管理计量器具，组织本地量值传递和比对工作，监督管理商品量、市场计量行为和计量仲裁检定。</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7、承担本辖区食品包装材料、容器、食品生产经营工具等食品相关产品生产加工的质量安全监管及市场准入有关工作；按规定权限组织调查处理相关质量安全事故。</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8、承担综合管理本辖区锅炉、压力容器、压力管道、电梯、起重机械、客运索道、游乐设施、场（厂）内专用机动车辆等特种设备安全监察、监督工作的责任，监督检查高耗能特种设备节能标准的执行情况。</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9、制定并组织实施本辖区质量技术监督事业发展、科技发展和技术机构建设规划，组织有关科研和技术引进工作。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10、承办区政府和市质量技术监督局交办的其他事项。</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11"/>
        <w:gridCol w:w="1002"/>
        <w:gridCol w:w="1828"/>
        <w:gridCol w:w="2254"/>
        <w:gridCol w:w="982"/>
        <w:gridCol w:w="682"/>
        <w:gridCol w:w="597"/>
        <w:gridCol w:w="597"/>
        <w:gridCol w:w="5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243廊坊市广阳区质量技术监督局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质量技术监督管理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22.88</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全区质量监督、产品质量安全监督、标准化、计量、认证认可、特种设备及食品相关产品质量监督管理等。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提高质量管理水平，提升产品质量。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质量管理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负责本辖区内质量宏观管理工作，拟订并组织实施当地质量发展规划，推进名牌发展战略，承担本辖区产品质量诚信体系建设工作。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动当地政府积极开展质量兴区工作；建立完善企业质量信用档案数据库；推动民营企业积极参加“五个一”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企业质量信用档案录入率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家用汽车“三包”争议申诉处理率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申报廊坊市政府质量奖数量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名优企业培育数量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标准化管理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加强标准制修订和实施工作，积极参与标准化活动，成立标准化工作综合协调机构，发挥好标准化示范试点作用，推进标准化工作上新台阶。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地方标准制修订数量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省级服务业标准化试点创建数量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省级工业标准化良好行为企业创建数量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计量管理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负责统一管理本辖区计量工作，推行法定计量单位和国家计量制度，管理和监督地方计量标准和标准物质，依法管理计量器具，组织本地量值传递和比对工作，监督管理商品量、市场计量行为和计量仲裁检定。</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严格落实计量发展规划(2013—2020年),提升服务经济、保障民生能力。推动政府出台支持计量发展的政策措施、落实相关资金；加强量传溯源体系建设；完成能源计量审查及在线采集目标任务；落实“计量惠民生，诚信促和谐”双十工程三年目标任务。组织实施省、市、区统一部署的各项计量监督检查及管理活动；全面加强计量宣传统计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能源计量审查及在线采集完成率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计量专项检查完成率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认证认可管理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强化辖区内强制性认证企业的后续监管，定期开展巡查。</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实验室监督检查比率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强制性认证企业监督检查比率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食品相关产品监管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承担本辖区食品包装材料、容器、食品生产经营工具等食品相关产品生产加工的质量安全监管及市场准入有关工作；按规定权限组织调查处理相关质量安全事故。</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强化获证食品相关产品企业日常监管，确保企业能够持续保持生产许可的要求；及时发现和查处违法案件；对监督检查中发现的问题和隐患要及时予以消除，全年不发生因食品相关产品质量问题导致的重大食品质量安全事故。</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获证企业监督检查比率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质量监督</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拟定本辖区重点监督的产品目录和产品质量安全监督的工作制度并组织实施；承担产品质量区级监督抽查工作和不合格产品后处理工作；承担工业产品生产许可证管理、产品质量安全强制检验工作；指导和协调本辖区产品质量的行业、专业性监督；管理机动车安全技术检验机构资格；认定监督管理产品质量检验机构及仲裁检验、鉴定。</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强化煤质检验，按要求制定煤质检测计划，对辖区用煤大户实施定期抽检，按时上报有关信息。为大气污染防治工作提供技术支撑。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不合格企业后处理完成率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机动车安检机构监督抽查率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工业产品许可证获证企业日常监督检查率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用煤大户定期抽检完成率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特种设备安全监察</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22.88</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承担综合管理本辖区锅炉、压力容器、压力管道、电梯、起重机械、客运索道、游乐设施、场（厂）内专用机动车辆等特种设备安全监察、监督工作的责任，监督检查高耗能特种设备节能标准的执行情况。</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重点特种设备现场监督检查率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96%</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95%及以下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重点设备定期检验率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气瓶和移动式压力容器充装站现场监督检查率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质量技术监督行政执法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主要承担质量技术监督执法打假有关的各项工作。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加大执法力度，规范执法行为。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打假办案</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协调依法查处本辖区生产和经销假冒伪劣商品活动中的质量、标准违法行为和流通领域中的计量违法行为；组织本辖区日常行政执法工作；承担本辖区打击生产和经销假冒伪劣商品违法行为的日常协调工作；调查处理重大和跨区域的生产、流通领域质量技术违法案件；参加周边地区质量技术监督部门执法办案的协调联动。开展区域产品整治和提升工作；负责全区的质量技术监督投诉、申诉和举报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区域性产品整治提升工作力度，着力解决突出问题，有效防范区域性质量安全事件。严格按要求开展“双打”、“质检利剑”等专项执法行动，不断提高专项行动的有效性。加大执法办案工作力度，严厉打击质量违法行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质量技术监督案件办结率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质监政务管理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主要包括质量技术监督法规建设、综合管理、人事、离退休干部、党建、计财、内审、监察、宣传、会议、培训、调研等工作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提高综合保障管理能力。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开展纪检监察、计财内审宣传、专项会议、培训、调研、行政许可、执法装备、信息化等工作。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规范执法行为，加强行政执法能力，提升队伍素质和电子政务水平。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人事管理、老干部管理、党建、后勤等事务性管理等工作。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提升保障能力及管理水平，完成各项工作任务。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70%以下</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六、政府采购预算情况</w:t>
      </w: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质量技术监督局</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ind w:left="798" w:leftChars="38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2017年，我部门未安排政府采购预算。</w:t>
      </w:r>
    </w:p>
    <w:p>
      <w:pPr>
        <w:widowControl/>
        <w:spacing w:line="360" w:lineRule="atLeast"/>
        <w:ind w:left="798" w:leftChars="380"/>
        <w:jc w:val="left"/>
        <w:rPr>
          <w:rFonts w:ascii="宋体" w:hAnsi="宋体" w:eastAsia="仿宋_GB2312" w:cs="宋体"/>
          <w:color w:val="000000"/>
          <w:kern w:val="0"/>
          <w:sz w:val="32"/>
          <w:szCs w:val="32"/>
        </w:rPr>
      </w:pPr>
      <w:r>
        <w:rPr>
          <w:rFonts w:hint="eastAsia" w:ascii="仿宋_GB2312" w:eastAsia="仿宋_GB2312" w:cs="宋体"/>
          <w:b/>
          <w:bCs/>
          <w:color w:val="000000"/>
          <w:kern w:val="0"/>
          <w:sz w:val="32"/>
          <w:szCs w:val="32"/>
        </w:rPr>
        <w:t>七、国有资产信息</w:t>
      </w:r>
    </w:p>
    <w:p>
      <w:pPr>
        <w:widowControl/>
        <w:spacing w:line="360" w:lineRule="atLeast"/>
        <w:ind w:left="319" w:leftChars="152"/>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我部门（含所属单位）上年末固定资产金额为39.64万元，我部门本年度无拟购置固定资产，详见下表。</w:t>
      </w:r>
    </w:p>
    <w:tbl>
      <w:tblPr>
        <w:tblStyle w:val="4"/>
        <w:tblW w:w="11198" w:type="dxa"/>
        <w:tblCellSpacing w:w="0" w:type="dxa"/>
        <w:tblInd w:w="1702" w:type="dxa"/>
        <w:tblLayout w:type="autofit"/>
        <w:tblCellMar>
          <w:top w:w="0" w:type="dxa"/>
          <w:left w:w="0" w:type="dxa"/>
          <w:bottom w:w="0" w:type="dxa"/>
          <w:right w:w="0" w:type="dxa"/>
        </w:tblCellMar>
      </w:tblPr>
      <w:tblGrid>
        <w:gridCol w:w="4090"/>
        <w:gridCol w:w="2515"/>
        <w:gridCol w:w="4385"/>
        <w:gridCol w:w="268"/>
      </w:tblGrid>
      <w:tr>
        <w:tblPrEx>
          <w:tblCellMar>
            <w:top w:w="0" w:type="dxa"/>
            <w:left w:w="0" w:type="dxa"/>
            <w:bottom w:w="0" w:type="dxa"/>
            <w:right w:w="0" w:type="dxa"/>
          </w:tblCellMar>
        </w:tblPrEx>
        <w:trPr>
          <w:gridAfter w:val="1"/>
          <w:wAfter w:w="504" w:type="dxa"/>
          <w:trHeight w:val="705" w:hRule="atLeast"/>
          <w:tblCellSpacing w:w="0" w:type="dxa"/>
        </w:trPr>
        <w:tc>
          <w:tcPr>
            <w:tcW w:w="10694" w:type="dxa"/>
            <w:gridSpan w:val="3"/>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CellMar>
            <w:top w:w="0" w:type="dxa"/>
            <w:left w:w="0" w:type="dxa"/>
            <w:bottom w:w="0" w:type="dxa"/>
            <w:right w:w="0" w:type="dxa"/>
          </w:tblCellMar>
        </w:tblPrEx>
        <w:trPr>
          <w:gridAfter w:val="1"/>
          <w:wAfter w:w="504" w:type="dxa"/>
          <w:trHeight w:val="510" w:hRule="atLeast"/>
          <w:tblCellSpacing w:w="0" w:type="dxa"/>
        </w:trPr>
        <w:tc>
          <w:tcPr>
            <w:tcW w:w="6565" w:type="dxa"/>
            <w:gridSpan w:val="2"/>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 xml:space="preserve">廊坊市广阳区质量技术监督局     </w:t>
            </w:r>
          </w:p>
        </w:tc>
        <w:tc>
          <w:tcPr>
            <w:tcW w:w="4129" w:type="dxa"/>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w:t>
            </w:r>
            <w:r>
              <w:rPr>
                <w:rFonts w:hint="eastAsia" w:ascii="仿宋_GB2312" w:eastAsia="仿宋_GB2312" w:cs="宋体"/>
                <w:b/>
                <w:bCs/>
                <w:kern w:val="0"/>
                <w:sz w:val="32"/>
                <w:szCs w:val="32"/>
              </w:rPr>
              <w:t>目</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39.64</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其中：办公用房（平方米）</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27.90</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CellMar>
            <w:top w:w="0" w:type="dxa"/>
            <w:left w:w="0" w:type="dxa"/>
            <w:bottom w:w="0" w:type="dxa"/>
            <w:right w:w="0" w:type="dxa"/>
          </w:tblCellMar>
        </w:tblPrEx>
        <w:trPr>
          <w:trHeight w:val="645" w:hRule="atLeast"/>
          <w:tblCellSpacing w:w="0" w:type="dxa"/>
        </w:trPr>
        <w:tc>
          <w:tcPr>
            <w:tcW w:w="40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4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463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11.74</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八、名词解释</w:t>
      </w:r>
    </w:p>
    <w:p>
      <w:pPr>
        <w:pStyle w:val="7"/>
        <w:rPr>
          <w:rFonts w:ascii="仿宋_GB2312" w:eastAsia="仿宋_GB2312"/>
          <w:b/>
          <w:bCs/>
          <w:sz w:val="32"/>
          <w:szCs w:val="32"/>
        </w:rPr>
      </w:pP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ind w:firstLine="643" w:firstLineChars="200"/>
        <w:rPr>
          <w:rFonts w:ascii="仿宋_GB2312" w:eastAsia="仿宋_GB2312" w:cs="FZFangSong-Z02"/>
          <w:sz w:val="32"/>
          <w:szCs w:val="32"/>
        </w:rPr>
      </w:pPr>
      <w:r>
        <w:rPr>
          <w:rFonts w:hint="eastAsia" w:ascii="仿宋_GB2312" w:eastAsia="仿宋_GB2312"/>
          <w:b/>
          <w:bCs/>
          <w:sz w:val="32"/>
          <w:szCs w:val="32"/>
        </w:rPr>
        <w:t>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ind w:firstLine="643" w:firstLineChars="200"/>
        <w:rPr>
          <w:rFonts w:ascii="仿宋_GB2312" w:eastAsia="仿宋_GB2312" w:cs="FZFangSong-Z02"/>
          <w:sz w:val="32"/>
          <w:szCs w:val="32"/>
        </w:rPr>
      </w:pPr>
      <w:r>
        <w:rPr>
          <w:rFonts w:hint="eastAsia" w:ascii="仿宋_GB2312" w:eastAsia="仿宋_GB2312"/>
          <w:b/>
          <w:bCs/>
          <w:sz w:val="32"/>
          <w:szCs w:val="32"/>
        </w:rPr>
        <w:t>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321" w:firstLineChars="1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九、其它需要说明的事项</w:t>
      </w:r>
    </w:p>
    <w:p>
      <w:pPr>
        <w:widowControl/>
        <w:spacing w:line="360" w:lineRule="atLeast"/>
        <w:ind w:firstLine="160" w:firstLineChars="5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29BDA"/>
    <w:multiLevelType w:val="multilevel"/>
    <w:tmpl w:val="FEA29BDA"/>
    <w:lvl w:ilvl="0" w:tentative="0">
      <w:start w:val="1"/>
      <w:numFmt w:val="chineseCountingThousand"/>
      <w:lvlText w:val="%1、"/>
      <w:lvlJc w:val="left"/>
      <w:pPr>
        <w:tabs>
          <w:tab w:val="left" w:pos="1290"/>
        </w:tabs>
        <w:ind w:left="1290" w:hanging="650"/>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17500D"/>
    <w:rsid w:val="00081A30"/>
    <w:rsid w:val="0017500D"/>
    <w:rsid w:val="00B65B41"/>
    <w:rsid w:val="00C62729"/>
    <w:rsid w:val="390C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1163</Words>
  <Characters>6631</Characters>
  <Lines>55</Lines>
  <Paragraphs>15</Paragraphs>
  <TotalTime>21</TotalTime>
  <ScaleCrop>false</ScaleCrop>
  <LinksUpToDate>false</LinksUpToDate>
  <CharactersWithSpaces>7779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2017-10-27T09:27:00Z</dcterms:created>
  <dc:creator>lenovo</dc:creator>
  <cp:lastModifiedBy>Administrator</cp:lastModifiedBy>
  <dcterms:modified xsi:type="dcterms:W3CDTF">2024-01-18T02:05:25Z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0C7E8638DEBC4CCEA1709F0F9556AA9E</vt:lpwstr>
  </property>
</Properties>
</file>