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hint="eastAsia" w:ascii="方正小标宋简体" w:eastAsia="方正小标宋简体" w:cs="宋体"/>
          <w:color w:val="000000"/>
          <w:spacing w:val="-6"/>
          <w:kern w:val="0"/>
          <w:sz w:val="44"/>
          <w:szCs w:val="44"/>
        </w:rPr>
      </w:pPr>
      <w:bookmarkStart w:id="0" w:name="_GoBack"/>
      <w:bookmarkEnd w:id="0"/>
      <w:r>
        <w:rPr>
          <w:rFonts w:hint="eastAsia" w:ascii="方正小标宋简体" w:eastAsia="方正小标宋简体" w:cs="宋体"/>
          <w:b/>
          <w:bCs/>
          <w:color w:val="000000"/>
          <w:spacing w:val="-6"/>
          <w:kern w:val="0"/>
          <w:sz w:val="44"/>
          <w:szCs w:val="44"/>
        </w:rPr>
        <w:t>中国人民政治协商会议廊坊市广阳区委员会2017年部门预算信息公开</w:t>
      </w:r>
      <w:r>
        <w:rPr>
          <w:rFonts w:hint="eastAsia" w:ascii="方正小标宋简体" w:eastAsia="方正小标宋简体" w:cs="宋体"/>
          <w:color w:val="000000"/>
          <w:spacing w:val="-6"/>
          <w:kern w:val="0"/>
          <w:sz w:val="44"/>
          <w:szCs w:val="44"/>
        </w:rPr>
        <w:t> </w:t>
      </w:r>
    </w:p>
    <w:p>
      <w:pPr>
        <w:widowControl/>
        <w:spacing w:line="620" w:lineRule="exact"/>
        <w:jc w:val="center"/>
        <w:rPr>
          <w:rFonts w:ascii="方正小标宋简体" w:eastAsia="方正小标宋简体" w:cs="宋体"/>
          <w:color w:val="000000"/>
          <w:spacing w:val="-6"/>
          <w:kern w:val="0"/>
          <w:sz w:val="44"/>
          <w:szCs w:val="44"/>
        </w:rPr>
      </w:pPr>
    </w:p>
    <w:p>
      <w:pPr>
        <w:ind w:left="60"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中国人民政治协商会议廊坊市广阳区委员会</w:t>
      </w:r>
      <w:r>
        <w:rPr>
          <w:rFonts w:hint="eastAsia" w:ascii="仿宋_GB2312" w:eastAsia="仿宋_GB2312"/>
          <w:sz w:val="32"/>
          <w:szCs w:val="32"/>
        </w:rPr>
        <w:t>2017年部门预算公开如下：</w:t>
      </w:r>
    </w:p>
    <w:p>
      <w:pPr>
        <w:ind w:left="60" w:firstLine="640" w:firstLineChars="200"/>
        <w:rPr>
          <w:rFonts w:ascii="黑体" w:eastAsia="黑体"/>
          <w:sz w:val="32"/>
          <w:szCs w:val="32"/>
        </w:rPr>
      </w:pPr>
      <w:r>
        <w:rPr>
          <w:rFonts w:hint="eastAsia" w:ascii="黑体" w:eastAsia="黑体"/>
          <w:sz w:val="32"/>
          <w:szCs w:val="32"/>
        </w:rPr>
        <w:t>一、部门职责及机构设置情况</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部门职责：</w:t>
      </w: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根据《政协章程》规定，政协廊坊市广阳区委员会的主要职责是：</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（一）按照中国人民政治协商会议章程进行工作。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（二）主要职能是政治协商和民主监督，组织参加本会的各党派、团体和各族各界人士参政议政。</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（三）宣传和贯彻执行国家的宪法法律和各项方针、政策，推动社会力量积极参加物质文明和社会主义精神文明建设，协助国家机关打击经济领域和其他领域内破坏社会主义的犯罪活动。</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（五）调整和处理统一战线各方面的关系和人民政协内部合作的重要事项。</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（六）通过各种形式，积极传播先进思想，开展爱祖国、爱人民、爱劳动、爱科学、爱社会主义的公德及革命的理想、道德和纪律的宣传教育工作。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（八）组织委员视察、参观和调查，了解情况，就各项事业和群众生活的重要问题进行研究，通过建议案、提案和其他形式向党委、政府和其他有关组织提出建议和批评。</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（九）推动委员在自愿的基础上学习马克思列宁主义、毛泽东思想和邓小平理论，学习时事政治、学习和交流业务和科学技术知识，增强为祖国服务的才能。</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（十）宣传和参与贯彻执行国家关于统一祖国的方针政策，积极开展同台湾同胞和各界人士的联系，促进祖国统一大业的实现。</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（十一）宣传和协助贯彻执行国家的知识分子政策，以利于充分发挥知识分子在社会主义现代化建设中的作用。</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（十三）宣传和协助贯彻执行国家的宗教政策，团结宗教界爱国人士和宗教信仰者为祖国的建设和统一贡献力量。</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（十四）宣传和协助贯彻执行国家的侨务政策。加强同国外侨胞的联系和团结，鼓励他们为祖国的建设事业和统一祖国的大业作出贡献。</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（十五）根据统一战线组织的特点进行关于地方近代、现代史料的征集研究和出版工作。</w:t>
      </w:r>
    </w:p>
    <w:p>
      <w:pPr>
        <w:widowControl/>
        <w:spacing w:line="360" w:lineRule="atLeast"/>
        <w:jc w:val="left"/>
        <w:rPr>
          <w:rFonts w:ascii="仿宋_GB2312" w:eastAsia="仿宋_GB2312" w:cs="宋体"/>
          <w:b/>
          <w:bCs/>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28"/>
          <w:szCs w:val="28"/>
        </w:rPr>
        <w:t>部门机构设置情况</w:t>
      </w:r>
    </w:p>
    <w:tbl>
      <w:tblPr>
        <w:tblStyle w:val="4"/>
        <w:tblW w:w="992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009"/>
        <w:gridCol w:w="1275"/>
        <w:gridCol w:w="1560"/>
        <w:gridCol w:w="20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50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0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7" w:hRule="atLeast"/>
          <w:tblCellSpacing w:w="0" w:type="dxa"/>
          <w:jc w:val="center"/>
        </w:trPr>
        <w:tc>
          <w:tcPr>
            <w:tcW w:w="500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中国人民政治协商会议廊坊市广阳区委员会</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正处级</w:t>
            </w:r>
          </w:p>
        </w:tc>
        <w:tc>
          <w:tcPr>
            <w:tcW w:w="20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ind w:firstLine="643" w:firstLineChars="200"/>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二、部门预算安排的总体情况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2017年预算收入500.81万元，其中：一般公共预算收入500.81万元，政府性基金收入0万元。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2017年支出预算500.81万元，其中基本支出500.81万元，包括人员经费和日常公用经费，项目支出0万元。</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2017年预算收支安排500.81万元，较2016年预算增加12.63万元，其中：基本支出增加82.63万元，主要为增加人员经费支出；项目支出减少70万元，主要为财力紧张预算未安排。</w:t>
      </w:r>
    </w:p>
    <w:p>
      <w:pPr>
        <w:widowControl/>
        <w:spacing w:line="360" w:lineRule="atLeast"/>
        <w:jc w:val="left"/>
        <w:rPr>
          <w:rFonts w:hint="eastAsia" w:ascii="黑体" w:eastAsia="黑体" w:cs="宋体"/>
          <w:color w:val="000000"/>
          <w:kern w:val="0"/>
          <w:sz w:val="32"/>
          <w:szCs w:val="32"/>
        </w:rPr>
      </w:pPr>
      <w:r>
        <w:rPr>
          <w:rFonts w:hint="eastAsia" w:ascii="仿宋_GB2312" w:eastAsia="仿宋_GB2312" w:cs="宋体"/>
          <w:color w:val="000000"/>
          <w:kern w:val="0"/>
          <w:sz w:val="32"/>
          <w:szCs w:val="32"/>
        </w:rPr>
        <w:t xml:space="preserve">    </w:t>
      </w:r>
      <w:r>
        <w:rPr>
          <w:rFonts w:hint="eastAsia" w:ascii="黑体" w:eastAsia="黑体" w:cs="宋体"/>
          <w:b/>
          <w:bCs/>
          <w:color w:val="000000"/>
          <w:kern w:val="0"/>
          <w:sz w:val="32"/>
          <w:szCs w:val="32"/>
        </w:rPr>
        <w:t>三、机关运行经费安排情况</w:t>
      </w:r>
    </w:p>
    <w:p>
      <w:pPr>
        <w:widowControl/>
        <w:spacing w:line="360" w:lineRule="atLeast"/>
        <w:ind w:left="640" w:hanging="640" w:hangingChars="200"/>
        <w:jc w:val="left"/>
        <w:rPr>
          <w:rFonts w:ascii="黑体" w:eastAsia="黑体" w:cs="宋体"/>
          <w:b/>
          <w:bCs/>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2.41万元，其中办公经费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2.41万元。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ind w:firstLine="630" w:firstLineChars="196"/>
        <w:jc w:val="left"/>
        <w:rPr>
          <w:rFonts w:ascii="黑体" w:eastAsia="黑体" w:cs="宋体"/>
          <w:b/>
          <w:bCs/>
          <w:color w:val="000000"/>
          <w:kern w:val="0"/>
          <w:sz w:val="32"/>
          <w:szCs w:val="32"/>
        </w:rPr>
      </w:pPr>
      <w:r>
        <w:rPr>
          <w:rFonts w:hint="eastAsia" w:ascii="黑体" w:eastAsia="黑体" w:cs="宋体"/>
          <w:b/>
          <w:bCs/>
          <w:color w:val="000000"/>
          <w:kern w:val="0"/>
          <w:sz w:val="32"/>
          <w:szCs w:val="32"/>
        </w:rPr>
        <w:t>五、绩效预算信息</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总体绩效目标：</w:t>
      </w:r>
      <w:r>
        <w:rPr>
          <w:rFonts w:hint="eastAsia" w:ascii="宋体" w:hAnsi="宋体" w:eastAsia="仿宋_GB2312" w:cs="宋体"/>
          <w:color w:val="000000"/>
          <w:kern w:val="0"/>
          <w:sz w:val="32"/>
          <w:szCs w:val="32"/>
        </w:rPr>
        <w:t> </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（一）按照中国人民政治协商会议章程进行工作。</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（二）主要职能是政治协商和民主监督，组织参加本会的各党派、团体和各族各界人士参政议政。</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（三）宣传和贯彻执行国家的宪法法律和各项方针、政策，推动社会力量积极参加物质文明和社会主义精神文明建设，协助国家机关打击经济领域和其他领域内破坏社会主义的犯罪活动。</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（五）调整和处理统一战线各方面的关系和人民政协内部合作的重要事项。</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（六）通过各种形式，积极传播先进思想，开展爱祖国、爱人民、爱劳动、爱科学、爱社会主义的公德及革命的理想、道德和纪律的宣传教育工作。</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（八）组织委员视察、参观和调查，了解情况，就各项事业和群众生活的重要问题进行研究，通过建议案、提案和其他形式向党委、政府和其他有关组织提出建议和批评。</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（九）推动委员在自愿的基础上学习马克思列宁主义、毛泽东思想和邓小平理论，学习时事政治、学习和交流业务和科学技术知识，增强为祖国服务的才能。</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（十）宣传和参与贯彻执行国家关于统一祖国的方针政策，积极开展同台湾同胞和各界人士的联系，促进祖国统一大业的实现。</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（十一）宣传和协助贯彻执行国家的知识分子政策，以利于充分发挥知识分子在社会主义现代化建设中的作用。</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（十三）宣传和协助贯彻执行国家的宗教政策，团结宗教界爱国人士和宗教信仰者为祖国的建设和统一贡献力量。</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（十四）宣传和协助贯彻执行国家的侨务政策。加强同国外侨胞的联系和团结，鼓励他们为祖国的建设事业和统一祖国的大业作出贡献。</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（十五）根据统一战线组织的特点进行关于地方近代、现代史料的征集研究和出版工作。</w:t>
      </w:r>
    </w:p>
    <w:p>
      <w:pPr>
        <w:widowControl/>
        <w:spacing w:line="360" w:lineRule="atLeast"/>
        <w:ind w:firstLine="320" w:firstLineChars="100"/>
        <w:jc w:val="left"/>
        <w:rPr>
          <w:rFonts w:ascii="仿宋_GB2312" w:eastAsia="仿宋_GB2312" w:cs="宋体"/>
          <w:b/>
          <w:bCs/>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一、政治协商：就大政方针及重要问题在决策之前进行协商和就决策执行过程中的重要问题进行协商。目标：完善各项会议制度，规范会议程序，提高会议质量，提高政治协商水平。</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二、民主监督：有效履行民主监督职责。通过意见、建议、批评的方式对国家法律法规的实施、重大方针政策的贯彻执行、</w:t>
      </w:r>
      <w:r>
        <w:rPr>
          <w:rFonts w:hint="eastAsia" w:ascii="仿宋_GB2312" w:eastAsia="仿宋_GB2312" w:cs="宋体"/>
          <w:color w:val="000000"/>
          <w:kern w:val="0"/>
          <w:sz w:val="32"/>
          <w:szCs w:val="32"/>
          <w:lang w:eastAsia="zh-CN"/>
        </w:rPr>
        <w:t>县委、县政府</w:t>
      </w:r>
      <w:r>
        <w:rPr>
          <w:rFonts w:hint="eastAsia" w:ascii="仿宋_GB2312" w:eastAsia="仿宋_GB2312" w:cs="宋体"/>
          <w:color w:val="000000"/>
          <w:kern w:val="0"/>
          <w:sz w:val="32"/>
          <w:szCs w:val="32"/>
        </w:rPr>
        <w:t>的工作进行政治监督。目标：完善民主监督机制，畅通民主监督渠道，建立健全知情、沟通制度，将民主监督寓于委员提案、进行视察、参与工作检查等活动中，提高民主监督质量和成效。</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三、参政议政：通过对重大问题以及人民群众普遍关心的问题，开展调查研究，向县委、县政府提出意见和建议。目标：发挥政协作为扩大社会各界有序参与的重要渠道作用，探索开展活动的新方法淅途径，充分调动委员参政议政积极，向县委、县政府提出高质量的建议案。</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四、政协事务管理：县政协自身建设、宣传工作，与有关单位的联系协调；负责机关外事工作，机构编制、人事任免、人员培训、考核奖惩、工资福利，后勤保障、经费资产管理、基建和审计，接待、离退休人员服务，承办政协主席、副主席、秘书长交办的其他事项。目标：机关自身建设、服务保障能力进一步提升。</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14"/>
        <w:gridCol w:w="857"/>
        <w:gridCol w:w="1914"/>
        <w:gridCol w:w="1914"/>
        <w:gridCol w:w="934"/>
        <w:gridCol w:w="743"/>
        <w:gridCol w:w="658"/>
        <w:gridCol w:w="658"/>
        <w:gridCol w:w="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131中国人民政治协商会议廊坊市广阳区委员会</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政治协商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就大政方针及重要问题在决策之前进行协商和就决策执行过程中的重要问题进行协商。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完善各项会议制度，规范会议程序，提高会议质量，提高政治协商水平。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政协会议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各类会议是政协履行职能的主要形式，是开展工作的主体，是委员履行自身职责的主要途径。</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完善各项会议制度，规范会议程序，提高会议质量，提高政治协商水平。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会议活动组织率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协商民主</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根据形势、任务和党委政府统一部署，安排协商活动，召开专题座谈会等。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增强开展政治协商的自觉性和主动性，规范协商内容，丰富协商形式和层次，把政治协商纳入决策程序。对外交往工作成效显著。</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专题协商完成率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民主监督</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有效履行民主监督职责。通过意见、建议、批评的方式对国家法律法规的实施、重大方针政策的贯彻执行、区委、区政府的工作进行政治监督。</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完善民主监督机制，畅通民主监督渠道，建立健全知情、沟通制度，将民主监督寓于委员提案、进行视察、参与工作检查等活动中，提高民主监督质量和成效。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监督事务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组织、鼓励和引导委员深入实际，通过建议案、提案等形式进行监督。通过有组织的调查和检查活动实施监督。</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完善民主监督机制，畅通民主监督渠道，建立健全知情、沟通制度，加强工作协调配合，提高民主监督的质量和成效。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重大工作参与率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提案工作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对政协委员和参加政协的各党派团体以及各专委会（提案者）的提案进行审查立案，立案后交承办单位办理，适时督办。</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完善提案审查、办理和反馈机制，做到提案程序更加规范，制度更加完善，提案质量和办理质量不断提高，政协履职作用更加突出。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提案办理率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参政议政</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通过对重大问题以及人民群众普遍关心的问题，开展调查研究，向区委、区政府提出意见和建议。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发挥政协作为扩大社会各界有序参与的重要渠道作用，探索开展活动的新方法淅途径，充分调动委员参政议政积极，向区委、区政府提出高质量的建议案。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专题调研</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组织委员深入实际、联系群众、了解党和国家方针政策贯彻落实情况并收集和反映社情民意。</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深入工作实际、深入基层，掌握反映真实情况的第一手材料，了解平时难以听到的群众呼声，形成有利于党和国家制定和调整符合群众意愿的政策措施。</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重点课题和专项调研完成率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巡视察看</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组织委员对经济发展的重大项目及人民群众普遍关注的重大问题进行巡视察看。</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通过界别渠道对既定问题或项目进行实地考察和认真论证，以视察报告或其他形式提出重要的咨询意见。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视察活动完成率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政协事务管理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机关自身建设、服务保障能力进一步提升。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加强区政协机关自身建设和宣传工作，扩大与政协办公室，区委、区人大常委会、政府办公室，区各民主党派、工商联、人民团体、区直有关部门和市、区政协的联系、协调工作。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政协自身建设质量更加扎实，工作科学化水平进一步提升。文史资料的社会功能增强，理论研究成果服务履职作用明显。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委员学习培训率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区政协机关的外事工作，机构编制、人事任免、调配及人员培训、考核奖惩、工资福利，后勤保障、机关经费管理、资产管理、基建和审计，机关接待、离退休人员服务，以及承办区政协主席、副主席、秘书长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机关基本设施设备正常运转、信息化保障、老干部服务保障能力进一步提高。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bl>
    <w:p>
      <w:pPr>
        <w:widowControl/>
        <w:spacing w:line="360" w:lineRule="atLeast"/>
        <w:jc w:val="left"/>
        <w:rPr>
          <w:rFonts w:ascii="宋体" w:hAnsi="宋体" w:eastAsia="黑体" w:cs="宋体"/>
          <w:color w:val="000000"/>
          <w:kern w:val="0"/>
          <w:sz w:val="32"/>
          <w:szCs w:val="32"/>
        </w:rPr>
      </w:pPr>
      <w:r>
        <w:rPr>
          <w:rFonts w:hint="eastAsia" w:ascii="宋体" w:hAnsi="宋体" w:eastAsia="黑体" w:cs="宋体"/>
          <w:color w:val="000000"/>
          <w:kern w:val="0"/>
          <w:sz w:val="32"/>
          <w:szCs w:val="32"/>
        </w:rPr>
        <w:t> </w:t>
      </w: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六、政府采购预算情况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32"/>
                <w:szCs w:val="32"/>
              </w:rPr>
              <w:t>中国人民政治协商会议廊坊市广阳区委员会</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我部门（含所属单位）上年末固定资产金额为173.34万元，我部门本年度无拟购置固定资产，详见下表。</w:t>
      </w:r>
    </w:p>
    <w:tbl>
      <w:tblPr>
        <w:tblStyle w:val="4"/>
        <w:tblW w:w="10580" w:type="dxa"/>
        <w:tblCellSpacing w:w="0" w:type="dxa"/>
        <w:tblInd w:w="0" w:type="dxa"/>
        <w:tblLayout w:type="autofit"/>
        <w:tblCellMar>
          <w:top w:w="0" w:type="dxa"/>
          <w:left w:w="0" w:type="dxa"/>
          <w:bottom w:w="0" w:type="dxa"/>
          <w:right w:w="0" w:type="dxa"/>
        </w:tblCellMar>
      </w:tblPr>
      <w:tblGrid>
        <w:gridCol w:w="4100"/>
        <w:gridCol w:w="2800"/>
        <w:gridCol w:w="3800"/>
      </w:tblGrid>
      <w:tr>
        <w:tblPrEx>
          <w:tblCellMar>
            <w:top w:w="0" w:type="dxa"/>
            <w:left w:w="0" w:type="dxa"/>
            <w:bottom w:w="0" w:type="dxa"/>
            <w:right w:w="0" w:type="dxa"/>
          </w:tblCellMar>
        </w:tblPrEx>
        <w:trPr>
          <w:trHeight w:val="705" w:hRule="atLeast"/>
          <w:tblCellSpacing w:w="0" w:type="dxa"/>
        </w:trPr>
        <w:tc>
          <w:tcPr>
            <w:tcW w:w="1061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trPr>
        <w:tc>
          <w:tcPr>
            <w:tcW w:w="684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中国人民政治协商会议廊坊市广阳区委员会</w:t>
            </w:r>
          </w:p>
        </w:tc>
        <w:tc>
          <w:tcPr>
            <w:tcW w:w="3780"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3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173.34</w:t>
            </w:r>
          </w:p>
        </w:tc>
      </w:tr>
      <w:tr>
        <w:tblPrEx>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3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3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w:t>
            </w:r>
          </w:p>
        </w:tc>
        <w:tc>
          <w:tcPr>
            <w:tcW w:w="3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77.26</w:t>
            </w:r>
          </w:p>
        </w:tc>
      </w:tr>
      <w:tr>
        <w:tblPrEx>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3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7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93.08</w:t>
            </w:r>
          </w:p>
        </w:tc>
      </w:tr>
    </w:tbl>
    <w:p>
      <w:pPr>
        <w:pStyle w:val="8"/>
        <w:ind w:left="480" w:hanging="480" w:hangingChars="150"/>
        <w:rPr>
          <w:rFonts w:ascii="仿宋_GB2312" w:eastAsia="仿宋_GB2312"/>
          <w:b/>
          <w:bCs/>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九、其它需要说明的事项</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27466A"/>
    <w:rsid w:val="0027466A"/>
    <w:rsid w:val="00293A55"/>
    <w:rsid w:val="00EB669F"/>
    <w:rsid w:val="479A6304"/>
    <w:rsid w:val="6582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apple-converted-space"/>
    <w:basedOn w:val="5"/>
    <w:qFormat/>
    <w:uiPriority w:val="0"/>
  </w:style>
  <w:style w:type="paragraph" w:customStyle="1" w:styleId="8">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919</Words>
  <Characters>5240</Characters>
  <Lines>43</Lines>
  <Paragraphs>12</Paragraphs>
  <TotalTime>12</TotalTime>
  <ScaleCrop>false</ScaleCrop>
  <LinksUpToDate>false</LinksUpToDate>
  <CharactersWithSpaces>6147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2017-10-27T09:18:00Z</dcterms:created>
  <dc:creator>lenovo</dc:creator>
  <cp:lastModifiedBy>111</cp:lastModifiedBy>
  <dcterms:modified xsi:type="dcterms:W3CDTF">2024-05-16T00:47:08Z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110E003E9BBF411EA6EC2F9DC5A38E01</vt:lpwstr>
  </property>
</Properties>
</file>