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廊坊市广阳区新源道街道办事处2017年部门预算信息公开</w:t>
      </w:r>
    </w:p>
    <w:p>
      <w:pPr>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廊坊市广阳区新源道街道办事处</w:t>
      </w:r>
      <w:r>
        <w:rPr>
          <w:rFonts w:hint="eastAsia" w:ascii="仿宋_GB2312" w:eastAsia="仿宋_GB2312"/>
          <w:sz w:val="32"/>
          <w:szCs w:val="32"/>
        </w:rPr>
        <w:t xml:space="preserve"> 2017年部门预算公开如下：</w:t>
      </w:r>
    </w:p>
    <w:p>
      <w:pPr>
        <w:pStyle w:val="8"/>
        <w:widowControl/>
        <w:numPr>
          <w:ilvl w:val="0"/>
          <w:numId w:val="1"/>
        </w:numPr>
        <w:spacing w:line="360" w:lineRule="atLeast"/>
        <w:ind w:firstLineChars="0"/>
        <w:jc w:val="left"/>
        <w:rPr>
          <w:rFonts w:hint="eastAsia" w:ascii="黑体" w:eastAsia="黑体" w:cs="宋体"/>
          <w:color w:val="000000"/>
          <w:kern w:val="0"/>
          <w:sz w:val="32"/>
          <w:szCs w:val="32"/>
        </w:rPr>
      </w:pPr>
      <w:r>
        <w:rPr>
          <w:rFonts w:hint="eastAsia" w:ascii="黑体" w:eastAsia="黑体" w:cs="宋体"/>
          <w:b/>
          <w:bCs/>
          <w:color w:val="000000"/>
          <w:kern w:val="0"/>
          <w:sz w:val="32"/>
          <w:szCs w:val="32"/>
        </w:rPr>
        <w:t>部门职责及机构设置情况</w:t>
      </w:r>
    </w:p>
    <w:p>
      <w:pPr>
        <w:widowControl/>
        <w:spacing w:line="360" w:lineRule="atLeast"/>
        <w:jc w:val="left"/>
        <w:rPr>
          <w:rFonts w:hint="eastAsia" w:ascii="仿宋_GB2312" w:eastAsia="仿宋_GB2312" w:cs="宋体"/>
          <w:color w:val="000000"/>
          <w:kern w:val="0"/>
          <w:sz w:val="32"/>
          <w:szCs w:val="32"/>
        </w:rPr>
      </w:pPr>
      <w:r>
        <w:rPr>
          <w:rFonts w:hint="eastAsia" w:ascii="仿宋_GB2312" w:eastAsia="仿宋_GB2312" w:cs="宋体"/>
          <w:b/>
          <w:bCs/>
          <w:color w:val="000000"/>
          <w:kern w:val="0"/>
          <w:sz w:val="32"/>
          <w:szCs w:val="32"/>
        </w:rPr>
        <w:t xml:space="preserve">    部门职责：</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1、宣传国家法律、法规和政策，对居民群众进行思想政治教育和社会主义法制教育。</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2、管理街道经济，制定经济发展规划，对经济工作中的重要问题做出决定，监督、指导、协调街道经济的运作。</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3、做好计划生育工作，加强对辖区居民和流动人口的计划生育管理，落实区政府下达的各项计划生育指标。</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4、协调和参与辖区内城市管理、旧村改造、重点项目征地拆迁、制止违法建设，搞好市容环境卫生。</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5、开展社区群众文化、体育和科普工作。</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6、加强社区居民委员会建设，指导其开展工作，提高其自治能力。</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7、开展社会保障、拥军优属、社区服务工作，协助做好义务教育工作。</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8、协助政法部门搞好社会治安综合治理，加强流动人口管理，开展人民调解，维护老人、妇女、未成年人及残疾人的合法权益。</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9、开展安全生产、抢险救灾工作。</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10、向区人民政府反映社情民意，办理人民群众信访事项。</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11、承办区政府交办的其它事项。</w:t>
      </w:r>
    </w:p>
    <w:p>
      <w:pPr>
        <w:widowControl/>
        <w:spacing w:line="360" w:lineRule="atLeast"/>
        <w:jc w:val="left"/>
        <w:rPr>
          <w:rFonts w:hint="eastAsia"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01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671"/>
        <w:gridCol w:w="1418"/>
        <w:gridCol w:w="1323"/>
        <w:gridCol w:w="2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67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32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26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67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廊坊市广阳区新源道街道办事处</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32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正科级</w:t>
            </w:r>
          </w:p>
        </w:tc>
        <w:tc>
          <w:tcPr>
            <w:tcW w:w="269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360" w:lineRule="atLeast"/>
        <w:ind w:firstLine="643" w:firstLineChars="200"/>
        <w:jc w:val="left"/>
        <w:rPr>
          <w:rFonts w:ascii="黑体" w:eastAsia="黑体" w:cs="宋体"/>
          <w:b/>
          <w:bCs/>
          <w:color w:val="000000"/>
          <w:kern w:val="0"/>
          <w:sz w:val="32"/>
          <w:szCs w:val="32"/>
        </w:rPr>
      </w:pPr>
      <w:r>
        <w:rPr>
          <w:rFonts w:hint="eastAsia" w:ascii="黑体" w:eastAsia="黑体" w:cs="宋体"/>
          <w:b/>
          <w:bCs/>
          <w:color w:val="000000"/>
          <w:kern w:val="0"/>
          <w:sz w:val="32"/>
          <w:szCs w:val="32"/>
        </w:rPr>
        <w:t>二、部门预算安排的总体情况</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p>
    <w:p>
      <w:pPr>
        <w:widowControl/>
        <w:spacing w:line="360" w:lineRule="atLeast"/>
        <w:ind w:firstLine="643" w:firstLineChars="200"/>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1、收入说明</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2017年预算收入1047.16万元，其中：一般公共预算收入1047.16万元，政府性基金收入0万元。</w:t>
      </w:r>
    </w:p>
    <w:p>
      <w:pPr>
        <w:widowControl/>
        <w:spacing w:line="360" w:lineRule="atLeast"/>
        <w:ind w:firstLine="643" w:firstLineChars="20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2、支出说明</w:t>
      </w:r>
    </w:p>
    <w:p>
      <w:pPr>
        <w:widowControl/>
        <w:spacing w:line="360" w:lineRule="atLeast"/>
        <w:ind w:left="160" w:leftChars="76"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2017年支出预算1047.16万元，其中基本支出1047.16万元，包括人员经费和日常公用经费，项目支出0万元。</w:t>
      </w:r>
    </w:p>
    <w:p>
      <w:pPr>
        <w:widowControl/>
        <w:spacing w:line="360" w:lineRule="atLeast"/>
        <w:ind w:left="160" w:leftChars="76" w:firstLine="482" w:firstLineChars="150"/>
        <w:jc w:val="left"/>
        <w:rPr>
          <w:rFonts w:ascii="楷体_GB2312" w:eastAsia="楷体_GB2312" w:cs="宋体"/>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360" w:lineRule="atLeast"/>
        <w:ind w:left="160" w:leftChars="76" w:firstLine="480" w:firstLineChars="150"/>
        <w:jc w:val="left"/>
        <w:rPr>
          <w:rFonts w:ascii="黑体" w:eastAsia="黑体" w:cs="宋体"/>
          <w:b/>
          <w:bCs/>
          <w:color w:val="000000"/>
          <w:kern w:val="0"/>
          <w:sz w:val="32"/>
          <w:szCs w:val="32"/>
        </w:rPr>
      </w:pPr>
      <w:r>
        <w:rPr>
          <w:rFonts w:hint="eastAsia" w:ascii="仿宋_GB2312" w:eastAsia="仿宋_GB2312" w:cs="宋体"/>
          <w:color w:val="000000"/>
          <w:kern w:val="0"/>
          <w:sz w:val="32"/>
          <w:szCs w:val="32"/>
        </w:rPr>
        <w:t>2017年预算收支安排1047.16万元，较2016年预算增加164.57万元，其中：基本支出增加164.57万元，主要为增加人员经费支出。</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 xml:space="preserve">   三、机关运行经费安排情况</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2017年预算安排我部门机关运行经费6.75万元，其中办公经费6.75万元。</w:t>
      </w:r>
    </w:p>
    <w:p>
      <w:pPr>
        <w:widowControl/>
        <w:spacing w:line="360" w:lineRule="atLeast"/>
        <w:ind w:left="319" w:leftChars="152" w:firstLine="321" w:firstLineChars="100"/>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 xml:space="preserve">    总体绩效目标：</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街道办事处是区人民政府的派出机关，受区人民政府领导，依据法律、法规、规章的规定或受本区人民政府委托，对本辖区内的城市管理、社区服务、经济发展、社会治安、两个文明建设等方面工作行使组织领导、综合协调、监督检查的职能。街道办事处对辖区内社会性、地区性、公益性、群众性工作负总责。具体职责是：</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1、宣传国家法律、法规和政策，对居民群众进行思想政治教育和社会主义法制教育。</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2、管理街道经济，制定经济发展规划，对经济工作中的重要问题做出决定，监督、指导、协调街道经济的运作。    </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3、做好计划生育工作，加强对辖区居民和流动人口的计划生育管理，落实区政府下达的各项计划生育指标。</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4、协调和参与辖区内城市管理、旧村改造、重点项目征地拆迁、制止违法建设，搞好市容环境卫生。</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5、开展社区群众文化、体育和科普工作。</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6、加强社区居民委员会建设，指导其开展工作，提高其自治能力。</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7、开展社会保障、拥军优属、社区服务工作，协助做好义务教育工作。</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8、协助政法部门搞好社会治安综合治理，加强流动人口管理，开展人民调解，维护老人、妇女、未成年人及残疾人的合法权益。</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9、开展安全生产、抢险救灾工作。</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10、向区人民政府反映社情民意，办理人民群众信访事项。</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11、承办区政府交办的其它事项。</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p>
    <w:p>
      <w:pPr>
        <w:widowControl/>
        <w:spacing w:line="360" w:lineRule="atLeast"/>
        <w:ind w:left="319" w:leftChars="152" w:firstLine="63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（一）围绕区政府各时期的中心工作和重点工作，加强调查研究，及时了解、掌握经济和社会发展动态，及时反应信息情况，提出建议。</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（二）负责区政府各种会议的准备工作，协助区政领导同志组织各类会议。</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（三）负责区政府重要文、电的起草、审核把关和政府机关的文书处理工作；负责区政府机关的档案管理、印信管理和保密工作。</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（四）负责区政府工作报告、领导同志重要讲话及其他重要材料的起草、修改工作。</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（五）根据工作需要，负责与区委、人大、政协、纪委、中省直驻廊单位和驻廊部队的联系；协调乡镇、街办处、部门之间的关系和工作，对重要的问题提出处理意见，报区政府领导审定。</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（六）督促检查区政府各部门、各乡镇人民政府、街道办事处对省政府、市政府、区政府重要文件，区政府会议决定事项及区政府领导同志重要批示的执行、落实情况，并向区政府领导同志报告。</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（七）负责区政府机关值班工作，及时向区政府领导同志报告重要情况，协助领导同志组织处理突发事件、重大灾情和重大事故。</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（八）负责全国、省、市、区人大代表建议、批评、意见及全国、省、市、区政协提案的办理工作。</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（九）负责区政府外宾、内宾接待，公务接待工作。</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（十）负责经济体制改革工作，负责区政府机关事务管理工作。</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（十一）负责全区民族宗教工作；负责全区法制工作。</w:t>
      </w:r>
    </w:p>
    <w:p>
      <w:pPr>
        <w:widowControl/>
        <w:spacing w:line="360" w:lineRule="atLeast"/>
        <w:ind w:left="319" w:leftChars="152" w:firstLine="320" w:firstLineChars="1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（十二）办理区政府领导交办的其他事项。</w:t>
      </w:r>
    </w:p>
    <w:p>
      <w:pPr>
        <w:widowControl/>
        <w:spacing w:line="360" w:lineRule="atLeast"/>
        <w:ind w:left="319" w:leftChars="152"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部门职责-工作活动绩效目标</w:t>
      </w:r>
    </w:p>
    <w:tbl>
      <w:tblPr>
        <w:tblStyle w:val="4"/>
        <w:tblW w:w="975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5"/>
        <w:gridCol w:w="784"/>
        <w:gridCol w:w="1744"/>
        <w:gridCol w:w="1744"/>
        <w:gridCol w:w="1014"/>
        <w:gridCol w:w="690"/>
        <w:gridCol w:w="1010"/>
        <w:gridCol w:w="870"/>
        <w:gridCol w:w="6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55" w:hRule="atLeast"/>
          <w:tblHeader/>
          <w:tblCellSpacing w:w="0" w:type="dxa"/>
          <w:jc w:val="center"/>
        </w:trPr>
        <w:tc>
          <w:tcPr>
            <w:tcW w:w="12255"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920廊坊市广阳区新源道街道办事处</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职责活动</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年度预算数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内容描述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绩效目标</w:t>
            </w:r>
          </w:p>
        </w:tc>
        <w:tc>
          <w:tcPr>
            <w:tcW w:w="157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绩效指标</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评价标准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优</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良</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中</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政务服务</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政务公开、镇政府、街办处会议管理、督察督办、政务联络等工作。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突出政务、加强事务、提升服务，力求重点工作出精品，难点工作求突破、基础工作有创新、常规工作见特色。以机关干部作风量化指标为依据，增强了工作综合服务实力。</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政务公开</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承担镇、街办处政务公开暨行政权力公开透明运行工作领导小组的日常工作，指导和协调全镇政务公开及政务服务中心建设、推进行政服务体系标准化建设工作。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通过完成镇、街办处政务信息公开工作的指导监督工作，使全镇政府信息公开业务队伍素质不断提高，业务水平进一步提升；政府政务信息公开范围不断扩大，公开内容得到进一步细化。</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反映全镇及街办处政务公开工作程度</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政务联络</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负责管理县政府驻外办事处工作。负责县领导、县有关部门公务活动的接待安排；</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做好区际间与本镇、街办处政务往来服务保障工作</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反映组织的与外地间的经济文化交流和信息采集活动情况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sz w:val="28"/>
                <w:szCs w:val="28"/>
              </w:rPr>
            </w:p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做好县际间与我县政务往来服务保障工作</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反映对镇党委镇政府、街办处安排的重大活动联络服务工作完成情况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会议管理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政府会议的准备和服务工作，协助政府领导组织会议决定事项的落实。</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做好街道及乡镇政府会议保障；严格召开的会议审批，控制会议费开支规模。</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反映纳入以街道及镇政府名义召开会议名单的会议数量占全年以街道政府名义召开会议数量的比率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督查督办</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督促检查街道各部门对政府决定事项及政府领导重要指示的执行落实情况并跟踪调研，及时向领导报告。组织承办人大代表和政协提案工作。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确保街道决定事项及街道领导重要指示得到贯彻落实。</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反映对市政府和区政府决定事项及市政府、区政府领导重要指示落实情况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应急管理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基层政府值班工作，及时报告重要情况，传达和督促落实镇政府领导指示。协助镇政府领导做好需由基层政府组织处理的突发事件应急处置工作。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应急管理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政府值班工作，及时报告重要情况，传达和督促落实镇政府领导指示。协助镇政府领导做好需由镇政府组织处理的突发事件应急处置工作。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维护好本地政府应急平台，确保全镇、街办处应急工作顺利完成；各类突发事件得到及时妥善处置</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反映全镇突发事件是否能够得到及时发现并部署处理措施情况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电子政务管理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政府电子政务管理与服务</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反映街道视频会议、电视电话会议、全街道电子政务系统的使用管理与运维情况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地方志事务</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全街道地方志事务管理。</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弘扬和传承优秀文化传统，充分发挥志书“资政、存史、教化”的综合功能，为社会各界方便快捷提供县情，为本县经济社会建设服务，为地方志工作者提供资料和工具。</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地方志事务管理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拟订全街道地方志工作规划并组织实施；搜集、保存、管理地方文献和资料；组织开发利用地方志资源；建设和维护街道地方志县情网络。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为社会各界方便快捷提供街道情，为经济社会建设服务</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反映全街道各志编制出现差错情况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街道政务管理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按照有关要求，做好机关办公区房屋与附属设施的维修、维护工作；做好机关办公区绿化、美化工作；做好后勤保障和老干部管理服务工作。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高质量审核公文，让县领导满意；及时办理各类文电，确保事项在第一时间得到街道批示意见；高质量起草的街道重要讲话及重要文稿。</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反映各项综合业务工作完成情况</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bl>
    <w:p>
      <w:pPr>
        <w:widowControl/>
        <w:spacing w:line="360" w:lineRule="atLeast"/>
        <w:jc w:val="left"/>
        <w:rPr>
          <w:rFonts w:hint="eastAsia" w:ascii="黑体" w:eastAsia="黑体" w:cs="宋体"/>
          <w:color w:val="000000"/>
          <w:kern w:val="0"/>
          <w:sz w:val="32"/>
          <w:szCs w:val="32"/>
        </w:rPr>
      </w:pPr>
      <w:r>
        <w:rPr>
          <w:rFonts w:hint="eastAsia" w:ascii="宋体" w:hAnsi="宋体" w:eastAsia="仿宋_GB2312" w:cs="宋体"/>
          <w:color w:val="000000"/>
          <w:kern w:val="0"/>
          <w:sz w:val="32"/>
          <w:szCs w:val="32"/>
        </w:rPr>
        <w:t> </w:t>
      </w: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六、政府采购预算情况</w:t>
      </w:r>
    </w:p>
    <w:p>
      <w:pPr>
        <w:widowControl/>
        <w:spacing w:line="360" w:lineRule="atLeast"/>
        <w:jc w:val="left"/>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2017年，我部门未安排政府采购预算。</w:t>
      </w:r>
    </w:p>
    <w:p>
      <w:pPr>
        <w:widowControl/>
        <w:spacing w:line="360" w:lineRule="atLeast"/>
        <w:jc w:val="center"/>
        <w:rPr>
          <w:rFonts w:hint="eastAsia" w:ascii="仿宋_GB2312" w:eastAsia="仿宋_GB2312" w:cs="Times New Roman"/>
          <w:sz w:val="28"/>
          <w:szCs w:val="28"/>
        </w:rPr>
      </w:pPr>
    </w:p>
    <w:p>
      <w:pPr>
        <w:widowControl/>
        <w:spacing w:line="360" w:lineRule="atLeast"/>
        <w:jc w:val="center"/>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color w:val="000000"/>
                <w:kern w:val="0"/>
                <w:sz w:val="28"/>
                <w:szCs w:val="28"/>
              </w:rPr>
              <w:t>廊坊市广阳区新源道街道办事处</w:t>
            </w:r>
          </w:p>
        </w:tc>
        <w:tc>
          <w:tcPr>
            <w:tcW w:w="210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3" w:type="pct"/>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48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2105" w:type="pct"/>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367"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1510" w:type="pct"/>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286"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282"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6"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6"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sz w:val="28"/>
                <w:szCs w:val="28"/>
              </w:rPr>
            </w:pPr>
          </w:p>
        </w:tc>
        <w:tc>
          <w:tcPr>
            <w:tcW w:w="367"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482"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282"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286" w:type="pct"/>
            <w:shd w:val="clear" w:color="auto" w:fill="auto"/>
            <w:vAlign w:val="center"/>
          </w:tcPr>
          <w:p>
            <w:pPr>
              <w:spacing w:line="30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sz w:val="28"/>
                <w:szCs w:val="28"/>
              </w:rPr>
            </w:pPr>
          </w:p>
        </w:tc>
        <w:tc>
          <w:tcPr>
            <w:tcW w:w="367"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482"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282"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286" w:type="pct"/>
            <w:shd w:val="clear" w:color="auto" w:fill="auto"/>
            <w:vAlign w:val="center"/>
          </w:tcPr>
          <w:p>
            <w:pPr>
              <w:spacing w:line="300" w:lineRule="exact"/>
              <w:jc w:val="center"/>
              <w:rPr>
                <w:rFonts w:ascii="仿宋_GB2312" w:eastAsia="仿宋_GB2312" w:cs="Times New Roman"/>
                <w:sz w:val="28"/>
                <w:szCs w:val="28"/>
              </w:rPr>
            </w:pPr>
          </w:p>
        </w:tc>
      </w:tr>
    </w:tbl>
    <w:p>
      <w:pPr>
        <w:widowControl/>
        <w:spacing w:line="360" w:lineRule="atLeast"/>
        <w:jc w:val="left"/>
        <w:rPr>
          <w:rFonts w:hint="eastAsia" w:ascii="黑体" w:eastAsia="黑体" w:cs="宋体"/>
          <w:color w:val="000000"/>
          <w:kern w:val="0"/>
          <w:sz w:val="32"/>
          <w:szCs w:val="32"/>
        </w:rPr>
      </w:pPr>
      <w:r>
        <w:rPr>
          <w:rFonts w:hint="eastAsia" w:ascii="黑体" w:eastAsia="黑体" w:cs="宋体"/>
          <w:b/>
          <w:bCs/>
          <w:color w:val="000000"/>
          <w:kern w:val="0"/>
          <w:sz w:val="32"/>
          <w:szCs w:val="32"/>
        </w:rPr>
        <w:t>七、国有资产信息</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我部门（含所属单位）上年末固定资产金额为80.54万元，我部门本年度无拟购置固定资产，详见下表。</w:t>
      </w:r>
    </w:p>
    <w:tbl>
      <w:tblPr>
        <w:tblStyle w:val="4"/>
        <w:tblW w:w="10700" w:type="dxa"/>
        <w:jc w:val="center"/>
        <w:tblCellSpacing w:w="0" w:type="dxa"/>
        <w:tblLayout w:type="autofit"/>
        <w:tblCellMar>
          <w:top w:w="0" w:type="dxa"/>
          <w:left w:w="0" w:type="dxa"/>
          <w:bottom w:w="0" w:type="dxa"/>
          <w:right w:w="0" w:type="dxa"/>
        </w:tblCellMar>
      </w:tblPr>
      <w:tblGrid>
        <w:gridCol w:w="4055"/>
        <w:gridCol w:w="2615"/>
        <w:gridCol w:w="4150"/>
      </w:tblGrid>
      <w:tr>
        <w:tblPrEx>
          <w:tblCellMar>
            <w:top w:w="0" w:type="dxa"/>
            <w:left w:w="0" w:type="dxa"/>
            <w:bottom w:w="0" w:type="dxa"/>
            <w:right w:w="0" w:type="dxa"/>
          </w:tblCellMar>
        </w:tblPrEx>
        <w:trPr>
          <w:trHeight w:val="705" w:hRule="atLeast"/>
          <w:tblCellSpacing w:w="0" w:type="dxa"/>
          <w:jc w:val="center"/>
        </w:trPr>
        <w:tc>
          <w:tcPr>
            <w:tcW w:w="10730" w:type="dxa"/>
            <w:gridSpan w:val="3"/>
            <w:noWrap/>
            <w:vAlign w:val="center"/>
          </w:tcPr>
          <w:p>
            <w:pPr>
              <w:widowControl/>
              <w:jc w:val="center"/>
              <w:rPr>
                <w:rFonts w:hint="eastAsia" w:ascii="仿宋_GB2312" w:eastAsia="仿宋_GB2312" w:cs="宋体"/>
                <w:b/>
                <w:bCs/>
                <w:kern w:val="0"/>
                <w:sz w:val="28"/>
                <w:szCs w:val="28"/>
              </w:rPr>
            </w:pPr>
          </w:p>
          <w:p>
            <w:pPr>
              <w:widowControl/>
              <w:jc w:val="center"/>
              <w:rPr>
                <w:rFonts w:hint="eastAsia" w:ascii="仿宋_GB2312" w:eastAsia="仿宋_GB2312" w:cs="宋体"/>
                <w:b/>
                <w:bCs/>
                <w:kern w:val="0"/>
                <w:sz w:val="28"/>
                <w:szCs w:val="28"/>
              </w:rPr>
            </w:pPr>
          </w:p>
          <w:p>
            <w:pPr>
              <w:widowControl/>
              <w:jc w:val="center"/>
              <w:rPr>
                <w:rFonts w:hint="eastAsia" w:ascii="仿宋_GB2312" w:eastAsia="仿宋_GB2312" w:cs="宋体"/>
                <w:b/>
                <w:bCs/>
                <w:kern w:val="0"/>
                <w:sz w:val="28"/>
                <w:szCs w:val="28"/>
              </w:rPr>
            </w:pPr>
          </w:p>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615" w:type="dxa"/>
            <w:gridSpan w:val="2"/>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b/>
                <w:bCs/>
                <w:kern w:val="0"/>
                <w:sz w:val="28"/>
                <w:szCs w:val="28"/>
              </w:rPr>
              <w:t>廊坊市广阳区新源道街道办事处</w:t>
            </w:r>
          </w:p>
        </w:tc>
        <w:tc>
          <w:tcPr>
            <w:tcW w:w="4130" w:type="dxa"/>
            <w:noWrap/>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截止时间：2016年12月31日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w:t>
            </w:r>
            <w:r>
              <w:rPr>
                <w:rFonts w:hint="eastAsia" w:ascii="仿宋_GB2312" w:eastAsia="仿宋_GB2312" w:cs="宋体"/>
                <w:b/>
                <w:bCs/>
                <w:kern w:val="0"/>
                <w:sz w:val="28"/>
                <w:szCs w:val="28"/>
              </w:rPr>
              <w:t>目</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80.54</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kern w:val="0"/>
                <w:sz w:val="28"/>
                <w:szCs w:val="28"/>
              </w:rPr>
              <w:t>其中：办公用房（平方米）</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28.98</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仿宋_GB2312" w:cs="宋体"/>
                <w:kern w:val="0"/>
                <w:sz w:val="28"/>
                <w:szCs w:val="28"/>
              </w:rPr>
            </w:pPr>
            <w:r>
              <w:rPr>
                <w:rFonts w:ascii="宋体" w:hAnsi="宋体" w:eastAsia="仿宋_GB2312" w:cs="宋体"/>
                <w:kern w:val="0"/>
                <w:sz w:val="28"/>
                <w:szCs w:val="28"/>
              </w:rPr>
              <w:t> </w:t>
            </w:r>
          </w:p>
        </w:tc>
        <w:tc>
          <w:tcPr>
            <w:tcW w:w="4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51.56</w:t>
            </w:r>
          </w:p>
        </w:tc>
      </w:tr>
    </w:tbl>
    <w:p>
      <w:pPr>
        <w:pStyle w:val="7"/>
        <w:ind w:left="482" w:hanging="482" w:hangingChars="150"/>
        <w:rPr>
          <w:rFonts w:hint="eastAsia" w:ascii="黑体" w:eastAsia="黑体" w:cs="宋体"/>
          <w:sz w:val="32"/>
          <w:szCs w:val="32"/>
        </w:rPr>
      </w:pPr>
      <w:r>
        <w:rPr>
          <w:rFonts w:hint="eastAsia" w:ascii="黑体" w:eastAsia="黑体" w:cs="宋体"/>
          <w:b/>
          <w:bCs/>
          <w:sz w:val="32"/>
          <w:szCs w:val="32"/>
        </w:rPr>
        <w:t>八、名词解释</w:t>
      </w:r>
    </w:p>
    <w:p>
      <w:pPr>
        <w:pStyle w:val="7"/>
        <w:ind w:left="480" w:hanging="480" w:hangingChars="150"/>
        <w:rPr>
          <w:rFonts w:ascii="仿宋_GB2312" w:eastAsia="仿宋_GB2312"/>
          <w:b/>
          <w:bCs/>
          <w:sz w:val="32"/>
          <w:szCs w:val="32"/>
        </w:rPr>
      </w:pPr>
      <w:r>
        <w:rPr>
          <w:rFonts w:hint="eastAsia" w:ascii="黑体" w:eastAsia="黑体" w:cs="宋体"/>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hint="eastAsia" w:ascii="黑体" w:eastAsia="黑体" w:cs="宋体"/>
          <w:color w:val="000000"/>
          <w:kern w:val="0"/>
          <w:sz w:val="32"/>
          <w:szCs w:val="32"/>
        </w:rPr>
      </w:pPr>
      <w:r>
        <w:rPr>
          <w:rFonts w:hint="eastAsia" w:ascii="黑体" w:eastAsia="黑体" w:cs="宋体"/>
          <w:b/>
          <w:bCs/>
          <w:color w:val="000000"/>
          <w:kern w:val="0"/>
          <w:sz w:val="32"/>
          <w:szCs w:val="32"/>
        </w:rPr>
        <w:t>九、其它需要说明的事项</w:t>
      </w:r>
    </w:p>
    <w:p>
      <w:pPr>
        <w:widowControl/>
        <w:spacing w:line="360" w:lineRule="atLeast"/>
        <w:jc w:val="left"/>
        <w:rPr>
          <w:rFonts w:ascii="宋体" w:hAnsi="宋体" w:eastAsia="仿宋_GB2312" w:cs="宋体"/>
          <w:color w:val="000000"/>
          <w:kern w:val="0"/>
          <w:sz w:val="32"/>
          <w:szCs w:val="32"/>
        </w:rPr>
      </w:pPr>
      <w:r>
        <w:rPr>
          <w:rFonts w:hint="eastAsia" w:ascii="黑体" w:eastAsia="黑体" w:cs="宋体"/>
          <w:color w:val="000000"/>
          <w:kern w:val="0"/>
          <w:sz w:val="32"/>
          <w:szCs w:val="32"/>
        </w:rPr>
        <w:t xml:space="preserve">    </w:t>
      </w:r>
      <w:r>
        <w:rPr>
          <w:rFonts w:hint="eastAsia" w:ascii="仿宋_GB2312" w:eastAsia="仿宋_GB2312" w:cs="宋体"/>
          <w:color w:val="000000"/>
          <w:kern w:val="0"/>
          <w:sz w:val="32"/>
          <w:szCs w:val="32"/>
        </w:rPr>
        <w:t>无其它需要说明的事项。</w:t>
      </w:r>
      <w:r>
        <w:rPr>
          <w:rFonts w:hint="eastAsia" w:ascii="宋体" w:hAnsi="宋体" w:eastAsia="仿宋_GB2312" w:cs="宋体"/>
          <w:color w:val="000000"/>
          <w:kern w:val="0"/>
          <w:sz w:val="32"/>
          <w:szCs w:val="32"/>
        </w:rPr>
        <w:t> </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D190A"/>
    <w:multiLevelType w:val="multilevel"/>
    <w:tmpl w:val="160D190A"/>
    <w:lvl w:ilvl="0" w:tentative="0">
      <w:start w:val="1"/>
      <w:numFmt w:val="japaneseCounting"/>
      <w:lvlText w:val="%1、"/>
      <w:lvlJc w:val="left"/>
      <w:pPr>
        <w:ind w:left="1440" w:hanging="720"/>
      </w:pPr>
      <w:rPr>
        <w:rFonts w:hint="default"/>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3D3326"/>
    <w:rsid w:val="003D3326"/>
    <w:rsid w:val="00CD1AB5"/>
    <w:rsid w:val="00E916E4"/>
    <w:rsid w:val="00FB0A11"/>
    <w:rsid w:val="60DA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39</Pages>
  <Words>847</Words>
  <Characters>4830</Characters>
  <Lines>40</Lines>
  <Paragraphs>11</Paragraphs>
  <TotalTime>26</TotalTime>
  <ScaleCrop>false</ScaleCrop>
  <LinksUpToDate>false</LinksUpToDate>
  <CharactersWithSpaces>5666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2017-10-27T10:05:00Z</dcterms:created>
  <dc:creator>lenovo</dc:creator>
  <cp:lastModifiedBy>Administrator</cp:lastModifiedBy>
  <dcterms:modified xsi:type="dcterms:W3CDTF">2024-01-18T02:11:43Z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2CFD02378C5B42F9BC4BB969482F8520</vt:lpwstr>
  </property>
</Properties>
</file>