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bookmarkStart w:id="0" w:name="_GoBack"/>
      <w:r>
        <w:rPr>
          <w:rFonts w:hint="eastAsia" w:ascii="方正小标宋简体" w:eastAsia="方正小标宋简体" w:cs="宋体"/>
          <w:b/>
          <w:bCs/>
          <w:color w:val="000000"/>
          <w:kern w:val="0"/>
          <w:sz w:val="44"/>
          <w:szCs w:val="44"/>
        </w:rPr>
        <w:t>廊坊市广阳区物价局2017年部门预算信息公开</w:t>
      </w:r>
    </w:p>
    <w:bookmarkEnd w:id="0"/>
    <w:p>
      <w:pPr>
        <w:rPr>
          <w:rFonts w:ascii="仿宋_GB2312" w:eastAsia="仿宋_GB2312" w:cs="宋体"/>
          <w:color w:val="000000"/>
          <w:kern w:val="0"/>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廊坊市广阳区物价局</w:t>
      </w:r>
      <w:r>
        <w:rPr>
          <w:rFonts w:hint="eastAsia" w:ascii="仿宋_GB2312" w:eastAsia="仿宋_GB2312"/>
          <w:sz w:val="32"/>
          <w:szCs w:val="32"/>
        </w:rPr>
        <w:t>2017年部门预算公开如下：</w:t>
      </w:r>
    </w:p>
    <w:p>
      <w:pPr>
        <w:widowControl/>
        <w:spacing w:line="360" w:lineRule="atLeas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一、部门职责及机构设置情况</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（一）研究提出全区价格总水平年度调控计划和中长期调控目标；监测、预测全区价格总水平及其结构变动趋势，提出调控意见和建议。</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（二）研究提出价格（收费）改革的年度、中长期计划及调整方案；对国家、省、市价改方案积极组织实施。</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（三）对国家、省、市委托实行政府定价或政府指导价的商品价格实行管理；对市场调节的商品和服务价格实行间接调控。</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（四）管理国家机关收费、公益事业收费、公用事业收费、中介服务收费和重要的经营性收费。</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（五）负责市场物价变化情况监测，向省、市物价局和区委、区政府反映物价方面的重要情况，为政府实施宏观调控提供决策依据；向企业和社会发布价格信息。</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（六）依据有关价格法律、法规、规章，组织全区商品和服务价格（收费）的监督检查，受理价格举报，查处价格违法行为。</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（七）负责重要工业品和农产品成本调查工作，搞好成本、收益核算，提出相应对策和建议。（八）负责全区价格认证工作；对经济认证、司法认证收费行为进行管理，指导价格评估、价格咨询中介机构的工作。</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（九）指导企业用好市场调节商品和服务的定价权；指导行业组织价格自律工作。</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（十）承办区政府交办的其它工作。</w:t>
      </w:r>
    </w:p>
    <w:p>
      <w:pPr>
        <w:widowControl/>
        <w:spacing w:line="360" w:lineRule="atLeast"/>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机构设置：</w:t>
      </w:r>
    </w:p>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954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30"/>
        <w:gridCol w:w="1125"/>
        <w:gridCol w:w="1257"/>
        <w:gridCol w:w="28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tblHeader/>
          <w:tblCellSpacing w:w="0" w:type="dxa"/>
          <w:jc w:val="center"/>
        </w:trPr>
        <w:tc>
          <w:tcPr>
            <w:tcW w:w="436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13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2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285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6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廊坊市广阳区物价局</w:t>
            </w:r>
          </w:p>
        </w:tc>
        <w:tc>
          <w:tcPr>
            <w:tcW w:w="113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26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5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360" w:lineRule="atLeas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p>
    <w:p>
      <w:pPr>
        <w:widowControl/>
        <w:spacing w:line="360" w:lineRule="atLeast"/>
        <w:jc w:val="left"/>
        <w:rPr>
          <w:rFonts w:ascii="楷体_GB2312" w:eastAsia="楷体_GB2312" w:cs="宋体"/>
          <w:b/>
          <w:bCs/>
          <w:color w:val="000000"/>
          <w:kern w:val="0"/>
          <w:sz w:val="32"/>
          <w:szCs w:val="32"/>
        </w:rPr>
      </w:pP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1、收入说明</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2017年预算收入333.50万元，其中：一般公共预算收入333.50万元，政府性基金收入0万元。</w:t>
      </w:r>
    </w:p>
    <w:p>
      <w:pPr>
        <w:widowControl/>
        <w:spacing w:line="360" w:lineRule="atLeast"/>
        <w:jc w:val="left"/>
        <w:rPr>
          <w:rFonts w:ascii="仿宋_GB2312" w:eastAsia="仿宋_GB2312" w:cs="宋体"/>
          <w:color w:val="000000"/>
          <w:kern w:val="0"/>
          <w:sz w:val="32"/>
          <w:szCs w:val="32"/>
        </w:rPr>
      </w:pP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2017年支出预算333.50万元，其中基本支出333.50万元，包括人员经费和日常公用经费，项目支出0万元。</w:t>
      </w:r>
    </w:p>
    <w:p>
      <w:pPr>
        <w:widowControl/>
        <w:spacing w:line="360" w:lineRule="atLeast"/>
        <w:jc w:val="left"/>
        <w:rPr>
          <w:rFonts w:ascii="楷体_GB2312" w:eastAsia="楷体_GB2312" w:cs="宋体"/>
          <w:b/>
          <w:bCs/>
          <w:color w:val="000000"/>
          <w:kern w:val="0"/>
          <w:sz w:val="32"/>
          <w:szCs w:val="32"/>
        </w:rPr>
      </w:pP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3、比上年增减情况</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2017年预算收支安排333.50万元，较2016年预算增加55.03万元，其中：基本支出增加55.03万元，主要为增加人员经费支出。</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2017年预算安排我部门机关运行经费1.07万元，其中办公经费1.07万元，其他业务费</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0万元。</w:t>
      </w:r>
    </w:p>
    <w:p>
      <w:pPr>
        <w:widowControl/>
        <w:spacing w:line="360" w:lineRule="atLeast"/>
        <w:ind w:left="643" w:hanging="643" w:hangingChars="200"/>
        <w:jc w:val="left"/>
        <w:rPr>
          <w:rFonts w:ascii="黑体" w:eastAsia="黑体" w:cs="宋体"/>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五、绩效预算信息</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一、负责重要商品价格变动情况的监测，建立价格资料数据库，分析预测价格变动趋势，为政府制定经济政策和全区产业结构调整提供可靠依据。</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落实国家、省、市制定的收费政策、收费标准，</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对重要的公益性、强制性、垄断经营性收费项目和标准严格管理，签发和审验《收费许可证》；推行涉农收费公示制度，制止各种乱收费行为。</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三、负责全区价格认证工作，为公、检、法、司办理案件和金融信贷、保险理赔、商业往来及社会各界提供价格鉴证和评估服务。</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对同级人民政府业务主管部门、下级人民政府本</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行政区域内的企业、事业单位、私营企业和个体工商户的价格和收费检查工作，受理群众举报的价格和收费违法案件，依法处理价格和收费违法案件。</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（一）研究提出全区价格总水平年度调控计划和中长期调控目标；监测、预测全区价格总水平及其结构变动趋势，提出调控意见和建议。</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（二）研究提出价格（收费）改革的年度、中长期计划及调整方案；对国家、省、市价改方案积极组织实施。</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（三）对国家、省、市委托实行政府定价或政府指导价的商品价格实行管理；对市场调节的商品和服务价格实行间接调控。</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（四）管理国家机关收费、公益事业收费、公用事业收费、中介服务收费和重要的经营性收费。</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（五）负责市场物价变化情况监测，向省、市物价局和区委、区政府反映物价方面的重要情况，为政府实施宏观调控提供决策依据；向企业和社会发布价格信息。</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（六）依据有关价格法律、法规、规章，组织全区商品和服务价格（收费）的监督检查，受理价格举报，查处价格违法行为。</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（七）负责重要工业品和农产品成本调查工作，搞好成本、收益核算，提出相应对策和建议。</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（八）负责全区价格认证工作；对经济认证、司法认证收费行为进行管理，指导价格评估、价格咨询中介机构的工作。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（九）指导企业用好市场调节商品和服务的定价权；指导行业组织价格自律工作。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（十）承办区政府交办的其它工作。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50"/>
        <w:gridCol w:w="617"/>
        <w:gridCol w:w="1323"/>
        <w:gridCol w:w="1323"/>
        <w:gridCol w:w="897"/>
        <w:gridCol w:w="1310"/>
        <w:gridCol w:w="1150"/>
        <w:gridCol w:w="1150"/>
        <w:gridCol w:w="8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223廊坊市广阳区物价局</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价格总水平调控和价格管理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根据国民经济发展需要和社会承受能力，拟订全区价格总水平年度调控计划和中长期调控目标，监测预测全区价格总水平及其结构变动趋势，提出调控建议。管理全区与国民经济和人民生活关系重大、资源稀缺、自然垄断经营的商品价格，拟订作价原则、办法。</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保持市场价格总水平基本稳定,努力保障改善民生，促进经济持续健康发展和社会和谐稳定。</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拟订提出价格总水平年度调控目标和建议</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拟订全区价格总水平年度调控计划，编制中长期调控目标。开展日常、突发事件、重要节假日等价格巡查监测，密切跟踪国内外经济和价格运行，健全应对价格异常波动处理机制，及时启动应急预案，把价格总水平稳定在合理区间。</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拟订全区价格总水平年度调控计划，开展日常、突发事件、重要节假日等价格巡查监测，提出调控建议</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居民消费价格涨幅</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85%-89%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落实省市调整商品、运输、服务价格政策</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拟定调整方案，完善价格形成机制；落实调整天燃气、电力、供热价格和相关收费价格并组织实施；提出区级调整方案和调控建议，适时调整区级医疗服务、药品等价格政策。</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落实全区天然气、电力价格改革，完善供热价格管理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协助市局核定市城区供热价格调研</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85%-89%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天然气、电力价格改革政策落实</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85%-89%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调整收费标准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根据国家政策和事业发展需要，调整公用事业、中介服务和重要经营收费的标准并监督执行。</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加强全区行政事业性收费管理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收费标准规范性</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85%-89%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组织价格听证会</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在制定政府指导价、政府定价过程中，协助市局组织召开听证会、论证会，完成相关调研工作，征求经营者、消费者和有关方面的意见，对制定价格的必要性、可行性进行论证。</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政府价格决策科学和透明</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听证会有效性</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85%-89%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涉案资产价格鉴定、认证</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办理刑事案件涉案资产价格鉴定；办理民事、经济、仲裁案件涉案资产价格鉴定；对市场主体价格行为的合法性、价格水平的合理性公正性认证；</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客观、公正、合理出具价格鉴证结论，维护司法机关公平公正和当事人胡合法权益</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监测数据采集数量、价格分析数量、信息发布量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85%-89%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办案准确率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85%-89%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价格认定</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对纪检监察机关查办案件过程中价格不明、价格有争议的涉案财物进行价格认定；接受税务、民政等部门委托，对依法计征的应税物、低保户家庭收入和财产进行价格认证。</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客观、公正、合理出具价格认证结论，为</w:t>
            </w:r>
            <w:r>
              <w:rPr>
                <w:rFonts w:hint="eastAsia" w:ascii="仿宋_GB2312" w:eastAsia="仿宋_GB2312" w:cs="宋体"/>
                <w:kern w:val="0"/>
                <w:sz w:val="32"/>
                <w:szCs w:val="32"/>
                <w:lang w:eastAsia="zh-CN"/>
              </w:rPr>
              <w:t>纪检监察机关</w:t>
            </w:r>
            <w:r>
              <w:rPr>
                <w:rFonts w:hint="eastAsia" w:ascii="仿宋_GB2312" w:eastAsia="仿宋_GB2312" w:cs="宋体"/>
                <w:kern w:val="0"/>
                <w:sz w:val="32"/>
                <w:szCs w:val="32"/>
              </w:rPr>
              <w:t>、税务机关、民政部门等办理案件提供依据，维护公平公正。保护国家、公民、法人和其他组织的合法权益。</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案件复核维持率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85%-89%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价格成本调查和监审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组织农产品成本调查、审核、汇总和分析；对列入《政府制定价格成本监审目录》的商品和收费项目进行调定价监审和定期监审。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确保农产品调查合理布局，样本具有代表性，提高调查数据的科学性，为国家和省、市政府提供成本数据、分析预测趋势，为制定宏观经济政策、价格政策、稳定市场物价服务；使成本监审工作规范化、程序化，确保全区成本监审工作依法有序地开展，为政府制定价格提供成本数据支撑。</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实施全区农产品成本调查</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确定调查品种、调查户，进行组织实施和检查监督,并对调查品种数据进行收集、审核、汇总、分析。</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确保农产品调查合理布局，样本具有代表性，提高调查数据的科学性，为国家和省、市政府提供成本数据、分析预测趋势，为制定宏观经济政策、价格政策、稳定市场物价服务。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调查品种样本率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32-36户</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29-32户</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25-29户</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21-25户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成本监审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对列入市级《成本监审目录》的商品和收费项目进行调定价监审和定期监审。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使成本监审工作规范化、程序化，确保全区成本监审工作依法有序地开展，为政府制定价格提供成本数据支撑</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商品和收费定价监审率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85%-89%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价格监督检查</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组织价格和收费监督检查；推进价格信用制度建设；依法办理价格举报案件；推行明码标价和价格、收费公示制度，对市场放开商品实施价格监管，加强反价格欺诈工作，配合市级部门进行反垄断工作。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治理价格违法行为，规范收费环境和价格秩序；确保价格行政执法、处罚、审理程序合法；推行明码标价，促进明码实价；促进经营者价格自律，推进价格信用制度建设。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法制与案件审理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对价格违法案件情况进行监督、检查，对价格违法案件的审理、提出处理意见；告知价格处罚的行政复议、行政诉讼、申诉等权利；培训全区价格检查干部相关法律法规知识。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确保依法办案，确保价格行政执法、处罚、审理程序合法。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案件办结率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85%-89%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商品和服务价格监督检查</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规范市场价格秩序，打击虚构原价、虚假打折等欺诈行为；防范价格异动；开展价格诚信建设，探索不同行业明码标价的规则方法，建立经营者价格信用信息数据库。</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治理价格违法行为，规范收费环境和价格秩序；确保价格行政执法、处罚、审理程序合法；推行明码标价，促进明码实价；促进经营者价格自律，推进价格信用制度建设。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价格和收费监督检查目标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85%-89%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物价政务管理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负责物价系统综合业务管理和机关综合事务管理。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建立舆情应急处置机制，健全价格舆情监测系统。加强行政许可后续监管，规范价格秩序。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综合事务管理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围绕提高行政效率和服务质量，强化管理措施，完善制度保障，打造廉洁高效的价格政务服务环境。</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提高行政效率和服务质量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按照法定和承诺时限完成</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85%-89%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办理时间、办理程序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85%-89%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建立并逐步完善经营者价格诚信档案；按照市场化的方向推进价格改革；建立舆情应急处置机制，健全价格舆情监测系统。拟订年度和中长期调控目标，提出调控建议。</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进一步健全经营者价格诚信档案。</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价格诚信档案建立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85%-89%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85%以下</w:t>
            </w:r>
          </w:p>
        </w:tc>
      </w:tr>
    </w:tbl>
    <w:p>
      <w:pPr>
        <w:widowControl/>
        <w:spacing w:line="360" w:lineRule="atLeast"/>
        <w:jc w:val="left"/>
        <w:rPr>
          <w:rFonts w:ascii="宋体" w:hAnsi="宋体" w:eastAsia="黑体" w:cs="宋体"/>
          <w:color w:val="000000"/>
          <w:kern w:val="0"/>
          <w:sz w:val="32"/>
          <w:szCs w:val="32"/>
        </w:rPr>
      </w:pPr>
      <w:r>
        <w:rPr>
          <w:rFonts w:hint="eastAsia" w:ascii="宋体" w:hAnsi="宋体" w:eastAsia="黑体" w:cs="宋体"/>
          <w:color w:val="000000"/>
          <w:kern w:val="0"/>
          <w:sz w:val="32"/>
          <w:szCs w:val="32"/>
        </w:rPr>
        <w:t> </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rPr>
              <w:t>廊坊市广阳区物价局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bl>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七、国有资产信息</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我部门（含所属单位）上年末固定资产金额为42.40万元，我部门本年度无拟购置固定资产，详见下表。</w:t>
      </w:r>
    </w:p>
    <w:tbl>
      <w:tblPr>
        <w:tblStyle w:val="4"/>
        <w:tblW w:w="10415" w:type="dxa"/>
        <w:jc w:val="center"/>
        <w:tblCellSpacing w:w="0" w:type="dxa"/>
        <w:tblLayout w:type="autofit"/>
        <w:tblCellMar>
          <w:top w:w="0" w:type="dxa"/>
          <w:left w:w="0" w:type="dxa"/>
          <w:bottom w:w="0" w:type="dxa"/>
          <w:right w:w="0" w:type="dxa"/>
        </w:tblCellMar>
      </w:tblPr>
      <w:tblGrid>
        <w:gridCol w:w="4040"/>
        <w:gridCol w:w="2600"/>
        <w:gridCol w:w="3895"/>
      </w:tblGrid>
      <w:tr>
        <w:tblPrEx>
          <w:tblCellMar>
            <w:top w:w="0" w:type="dxa"/>
            <w:left w:w="0" w:type="dxa"/>
            <w:bottom w:w="0" w:type="dxa"/>
            <w:right w:w="0" w:type="dxa"/>
          </w:tblCellMar>
        </w:tblPrEx>
        <w:trPr>
          <w:trHeight w:val="705" w:hRule="atLeast"/>
          <w:tblCellSpacing w:w="0" w:type="dxa"/>
          <w:jc w:val="center"/>
        </w:trPr>
        <w:tc>
          <w:tcPr>
            <w:tcW w:w="10445"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585" w:type="dxa"/>
            <w:gridSpan w:val="2"/>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廊坊市广阳区物价局</w:t>
            </w:r>
          </w:p>
        </w:tc>
        <w:tc>
          <w:tcPr>
            <w:tcW w:w="3875" w:type="dxa"/>
            <w:noWrap/>
            <w:vAlign w:val="center"/>
          </w:tcPr>
          <w:p>
            <w:pPr>
              <w:widowControl/>
              <w:jc w:val="center"/>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w:t>
            </w:r>
            <w:r>
              <w:rPr>
                <w:rFonts w:hint="eastAsia" w:ascii="仿宋_GB2312" w:eastAsia="仿宋_GB2312" w:cs="宋体"/>
                <w:b/>
                <w:bCs/>
                <w:kern w:val="0"/>
                <w:sz w:val="28"/>
                <w:szCs w:val="28"/>
              </w:rPr>
              <w:t>目</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8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38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42.40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8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其中：办公用房（平方米）</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8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w:t>
            </w:r>
          </w:p>
        </w:tc>
        <w:tc>
          <w:tcPr>
            <w:tcW w:w="38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19.00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8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8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23.40</w:t>
            </w:r>
          </w:p>
        </w:tc>
      </w:tr>
    </w:tbl>
    <w:p>
      <w:pPr>
        <w:pStyle w:val="7"/>
        <w:ind w:left="480" w:hanging="480" w:hangingChars="150"/>
        <w:rPr>
          <w:rFonts w:ascii="仿宋_GB2312" w:eastAsia="仿宋_GB2312"/>
          <w:b/>
          <w:bCs/>
          <w:sz w:val="32"/>
          <w:szCs w:val="32"/>
        </w:rPr>
      </w:pPr>
      <w:r>
        <w:rPr>
          <w:rFonts w:hint="eastAsia" w:ascii="宋体" w:hAnsi="宋体" w:eastAsia="黑体" w:cs="宋体"/>
          <w:sz w:val="32"/>
          <w:szCs w:val="32"/>
        </w:rPr>
        <w:t> </w:t>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ascii="仿宋_GB2312" w:eastAsia="仿宋_GB2312"/>
          <w:b/>
          <w:bCs/>
          <w:sz w:val="32"/>
          <w:szCs w:val="32"/>
        </w:rPr>
        <w:t xml:space="preserve"> 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九、其它需要说明的事项</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无其它需要说明的事项。</w:t>
      </w:r>
    </w:p>
    <w:p>
      <w:pPr>
        <w:widowControl/>
        <w:spacing w:line="360" w:lineRule="atLeast"/>
        <w:jc w:val="left"/>
        <w:rPr>
          <w:rFonts w:ascii="仿宋_GB2312" w:eastAsia="仿宋_GB2312" w:cs="宋体"/>
          <w:color w:val="000000"/>
          <w:kern w:val="0"/>
          <w:sz w:val="32"/>
          <w:szCs w:val="32"/>
        </w:rPr>
      </w:pPr>
    </w:p>
    <w:p>
      <w:pPr>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59704C"/>
    <w:rsid w:val="0059704C"/>
    <w:rsid w:val="00893135"/>
    <w:rsid w:val="00C23F0D"/>
    <w:rsid w:val="713A71C2"/>
    <w:rsid w:val="72A2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62</Pages>
  <Words>877</Words>
  <Characters>5004</Characters>
  <Lines>41</Lines>
  <Paragraphs>11</Paragraphs>
  <TotalTime>6</TotalTime>
  <ScaleCrop>false</ScaleCrop>
  <LinksUpToDate>false</LinksUpToDate>
  <CharactersWithSpaces>5870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2017-10-27T09:22:00Z</dcterms:created>
  <dc:creator>lenovo</dc:creator>
  <cp:lastModifiedBy>111</cp:lastModifiedBy>
  <dcterms:modified xsi:type="dcterms:W3CDTF">2024-05-16T02:45:07Z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BB1872FEFCC84024B4D547F11FFB5DB5</vt:lpwstr>
  </property>
</Properties>
</file>