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Cs/>
          <w:color w:val="000000"/>
          <w:kern w:val="0"/>
          <w:sz w:val="44"/>
          <w:szCs w:val="44"/>
        </w:rPr>
        <w:t>廊坊市广阳区文体局2017年部门预算信息公开</w:t>
      </w:r>
      <w:r>
        <w:rPr>
          <w:rFonts w:hint="eastAsia" w:ascii="方正小标宋简体" w:eastAsia="方正小标宋简体" w:cs="宋体"/>
          <w:color w:val="000000"/>
          <w:kern w:val="0"/>
          <w:sz w:val="44"/>
          <w:szCs w:val="44"/>
        </w:rPr>
        <w:t> </w:t>
      </w:r>
    </w:p>
    <w:p>
      <w:pPr>
        <w:ind w:firstLine="640" w:firstLineChars="200"/>
        <w:rPr>
          <w:rFonts w:ascii="仿宋" w:eastAsia="仿宋"/>
          <w:sz w:val="32"/>
          <w:szCs w:val="32"/>
        </w:rPr>
      </w:pPr>
      <w:r>
        <w:rPr>
          <w:rFonts w:hint="eastAsia" w:ascii="仿宋" w:eastAsia="仿宋"/>
          <w:sz w:val="32"/>
          <w:szCs w:val="32"/>
        </w:rPr>
        <w:t>按照《</w:t>
      </w:r>
      <w:r>
        <w:rPr>
          <w:rFonts w:hint="eastAsia" w:ascii="仿宋" w:eastAsia="仿宋"/>
          <w:sz w:val="32"/>
          <w:szCs w:val="32"/>
          <w:lang w:eastAsia="zh-CN"/>
        </w:rPr>
        <w:t>中华人民共和国</w:t>
      </w:r>
      <w:bookmarkStart w:id="0" w:name="_GoBack"/>
      <w:bookmarkEnd w:id="0"/>
      <w:r>
        <w:rPr>
          <w:rFonts w:hint="eastAsia" w:ascii="仿宋" w:eastAsia="仿宋"/>
          <w:sz w:val="32"/>
          <w:szCs w:val="32"/>
        </w:rPr>
        <w:t>预算法》、《地方预决算公开操作规程》和《河北省省级预算公开办法》规定，现将</w:t>
      </w:r>
      <w:r>
        <w:rPr>
          <w:rFonts w:hint="eastAsia" w:ascii="仿宋" w:eastAsia="仿宋" w:cs="宋体"/>
          <w:color w:val="000000"/>
          <w:kern w:val="0"/>
          <w:sz w:val="32"/>
          <w:szCs w:val="32"/>
        </w:rPr>
        <w:t>廊坊市广阳区文体局</w:t>
      </w:r>
      <w:r>
        <w:rPr>
          <w:rFonts w:hint="eastAsia" w:ascii="仿宋" w:eastAsia="仿宋"/>
          <w:sz w:val="32"/>
          <w:szCs w:val="32"/>
        </w:rPr>
        <w:t xml:space="preserve">2017年部门预算公开如下：  </w:t>
      </w:r>
    </w:p>
    <w:p>
      <w:pPr>
        <w:widowControl/>
        <w:spacing w:line="360" w:lineRule="atLeast"/>
        <w:jc w:val="left"/>
        <w:rPr>
          <w:rFonts w:ascii="楷体" w:eastAsia="楷体" w:cs="宋体"/>
          <w:color w:val="000000"/>
          <w:kern w:val="0"/>
          <w:sz w:val="32"/>
          <w:szCs w:val="32"/>
        </w:rPr>
      </w:pPr>
      <w:r>
        <w:rPr>
          <w:rFonts w:hint="eastAsia" w:ascii="黑体" w:eastAsia="黑体" w:cs="宋体"/>
          <w:bCs/>
          <w:color w:val="000000"/>
          <w:kern w:val="0"/>
          <w:sz w:val="32"/>
          <w:szCs w:val="32"/>
        </w:rPr>
        <w:t xml:space="preserve">    一、部门职责及机构设置情况</w:t>
      </w:r>
      <w:r>
        <w:rPr>
          <w:rFonts w:hint="eastAsia" w:ascii="黑体" w:eastAsia="黑体" w:cs="宋体"/>
          <w:color w:val="000000"/>
          <w:kern w:val="0"/>
          <w:sz w:val="32"/>
          <w:szCs w:val="32"/>
        </w:rPr>
        <w:br w:type="textWrapping"/>
      </w:r>
      <w:r>
        <w:rPr>
          <w:rFonts w:eastAsia="仿宋" w:cs="Calibri"/>
          <w:b/>
          <w:bCs/>
          <w:color w:val="000000"/>
          <w:kern w:val="0"/>
          <w:sz w:val="32"/>
          <w:szCs w:val="32"/>
        </w:rPr>
        <w:t>    </w:t>
      </w:r>
      <w:r>
        <w:rPr>
          <w:rFonts w:hint="eastAsia" w:ascii="楷体" w:eastAsia="楷体" w:cs="宋体"/>
          <w:b/>
          <w:bCs/>
          <w:color w:val="000000"/>
          <w:kern w:val="0"/>
          <w:sz w:val="32"/>
          <w:szCs w:val="32"/>
        </w:rPr>
        <w:t xml:space="preserve"> 部门职责：</w:t>
      </w:r>
    </w:p>
    <w:p>
      <w:pPr>
        <w:widowControl/>
        <w:spacing w:line="360" w:lineRule="atLeast"/>
        <w:ind w:firstLine="640" w:firstLineChars="200"/>
        <w:jc w:val="left"/>
        <w:rPr>
          <w:rFonts w:ascii="仿宋" w:eastAsia="仿宋" w:cs="宋体"/>
          <w:color w:val="000000"/>
          <w:kern w:val="0"/>
          <w:sz w:val="32"/>
          <w:szCs w:val="32"/>
        </w:rPr>
      </w:pPr>
      <w:r>
        <w:rPr>
          <w:rFonts w:hint="eastAsia" w:ascii="仿宋" w:eastAsia="仿宋" w:cs="宋体"/>
          <w:color w:val="000000"/>
          <w:kern w:val="0"/>
          <w:sz w:val="32"/>
          <w:szCs w:val="32"/>
        </w:rPr>
        <w:t>1、贯彻执行国家、省、市关于文化、新闻出版、体育、旅游工作的方针、政策和法规；研究拟定全区文化、新闻出版、体育、旅游工作方针、政策和措施；编制并监督实施全区文化、新闻出版、体育、旅游事业中长期发展规划和年度执行计划。</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2、综合管理全区社会文化事业，指导各类社会文化事业的建设与发展，归口管理全区性重大文化活动，组织开展文明健康、丰富多彩的群众文化艺术活动，巩固和完善全区城乡文化阵地。</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3、指导和推动全区文化、艺术的研究、辅导及创作；抓好电影发行放映工作；宣传贯彻国家文物管理法规，健全文保网络；搞好图书馆建设，推进图书文献资源的开发利用。</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4、推进全民健身计划，指导和配合各个部门、各行业、各社会团体开展群众性体育活动，实施国家体育锻炼标准，开展国民体质监测。</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5、统筹规划全区竞技体育发展，研究平衡全区体育竞赛、竞技运动项目的设置与重点布局，组织、参加和承办各类体育竞赛。</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6、研究拟定文化、新闻出版、体育、旅游经济政策，宏观调控、协调发展文化、新闻出版、体育、旅游产业，规划、指导文化体育旅游设施建设，审核、管理全区文艺、体育类社团。</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7、归口管理全区文化市场、新闻出版市场和体育市场，制定市场发展规划，研究市场发展态势，执行各类市场稽查工作，落实中央、省、市部署的“扫黄打非”工作任务。</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8、管理全区文化娱乐行业、互联网上网服务行业、音像行业、演出市场及其它文化经营活动；管理全区印刷业和出版物发行业，依法管理版权工作，实施新闻出版市场稽查；管理全区体育及旅游经营活动。</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9、配合市旅游局对全区经营旅游业务的旅游区（点）、企事业单位及从业人员实施行业管理；指导旅游行业精神文明建设和创建优秀旅游城市工作。</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10、组织全区旅游资源普查，指导协调旅游资源开发、利用、保护工作；指导旅游招商引资工作；组织指导旅游业统计工作；制定全区旅游行业人才教育培训计划，指导全区旅游行业岗位培训及旅游教育工作；指导实施旅游从业人员的职业资格标准和等级标准。</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11、承办区委、区政府交办的其他事项。</w:t>
      </w:r>
      <w:r>
        <w:rPr>
          <w:rFonts w:hint="eastAsia" w:ascii="仿宋" w:eastAsia="仿宋" w:cs="宋体"/>
          <w:color w:val="000000"/>
          <w:kern w:val="0"/>
          <w:sz w:val="32"/>
          <w:szCs w:val="32"/>
        </w:rPr>
        <w:br w:type="textWrapping"/>
      </w:r>
      <w:r>
        <w:rPr>
          <w:rFonts w:eastAsia="仿宋" w:cs="Calibri"/>
          <w:b/>
          <w:bCs/>
          <w:color w:val="000000"/>
          <w:kern w:val="0"/>
          <w:sz w:val="32"/>
          <w:szCs w:val="32"/>
        </w:rPr>
        <w:t>   </w:t>
      </w:r>
      <w:r>
        <w:rPr>
          <w:rFonts w:hint="eastAsia" w:ascii="楷体" w:eastAsia="楷体" w:cs="宋体"/>
          <w:b/>
          <w:bCs/>
          <w:color w:val="000000"/>
          <w:kern w:val="0"/>
          <w:sz w:val="32"/>
          <w:szCs w:val="32"/>
        </w:rPr>
        <w:t xml:space="preserve"> 机构设置：</w:t>
      </w:r>
      <w:r>
        <w:rPr>
          <w:rFonts w:hint="eastAsia" w:eastAsia="仿宋" w:cs="Calibri"/>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部门机构设置情况</w:t>
      </w:r>
    </w:p>
    <w:tbl>
      <w:tblPr>
        <w:tblStyle w:val="4"/>
        <w:tblW w:w="100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477"/>
        <w:gridCol w:w="1446"/>
        <w:gridCol w:w="1263"/>
        <w:gridCol w:w="28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24" w:hRule="atLeast"/>
          <w:tblHeader/>
          <w:tblCellSpacing w:w="0" w:type="dxa"/>
          <w:jc w:val="center"/>
        </w:trPr>
        <w:tc>
          <w:tcPr>
            <w:tcW w:w="4477"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0"/>
                <w:szCs w:val="30"/>
              </w:rPr>
            </w:pPr>
            <w:r>
              <w:rPr>
                <w:rFonts w:ascii="仿宋" w:eastAsia="仿宋" w:cs="宋体"/>
                <w:b/>
                <w:bCs/>
                <w:kern w:val="0"/>
                <w:sz w:val="30"/>
                <w:szCs w:val="30"/>
              </w:rPr>
              <w:t>单位名称</w:t>
            </w:r>
          </w:p>
        </w:tc>
        <w:tc>
          <w:tcPr>
            <w:tcW w:w="1446"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0"/>
                <w:szCs w:val="30"/>
              </w:rPr>
            </w:pPr>
            <w:r>
              <w:rPr>
                <w:rFonts w:ascii="仿宋" w:eastAsia="仿宋" w:cs="宋体"/>
                <w:b/>
                <w:bCs/>
                <w:kern w:val="0"/>
                <w:sz w:val="30"/>
                <w:szCs w:val="30"/>
              </w:rPr>
              <w:t>单位性质</w:t>
            </w:r>
          </w:p>
        </w:tc>
        <w:tc>
          <w:tcPr>
            <w:tcW w:w="1263"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0"/>
                <w:szCs w:val="30"/>
              </w:rPr>
            </w:pPr>
            <w:r>
              <w:rPr>
                <w:rFonts w:ascii="仿宋" w:eastAsia="仿宋" w:cs="宋体"/>
                <w:b/>
                <w:bCs/>
                <w:kern w:val="0"/>
                <w:sz w:val="30"/>
                <w:szCs w:val="30"/>
              </w:rPr>
              <w:t>单位规格</w:t>
            </w:r>
          </w:p>
        </w:tc>
        <w:tc>
          <w:tcPr>
            <w:tcW w:w="286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0"/>
                <w:szCs w:val="30"/>
              </w:rPr>
            </w:pPr>
            <w:r>
              <w:rPr>
                <w:rFonts w:ascii="仿宋" w:eastAsia="仿宋" w:cs="宋体"/>
                <w:b/>
                <w:bCs/>
                <w:kern w:val="0"/>
                <w:sz w:val="30"/>
                <w:szCs w:val="30"/>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Header/>
          <w:tblCellSpacing w:w="0" w:type="dxa"/>
          <w:jc w:val="center"/>
        </w:trPr>
        <w:tc>
          <w:tcPr>
            <w:tcW w:w="4477" w:type="dxa"/>
            <w:vMerge w:val="continue"/>
            <w:tcBorders>
              <w:top w:val="outset" w:color="auto" w:sz="6" w:space="0"/>
              <w:left w:val="outset" w:color="auto" w:sz="6" w:space="0"/>
              <w:bottom w:val="outset" w:color="auto" w:sz="6" w:space="0"/>
              <w:right w:val="outset" w:color="auto" w:sz="6" w:space="0"/>
            </w:tcBorders>
            <w:vAlign w:val="center"/>
          </w:tcPr>
          <w:p/>
        </w:tc>
        <w:tc>
          <w:tcPr>
            <w:tcW w:w="1446" w:type="dxa"/>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7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廊坊市广阳区文化体育局</w:t>
            </w:r>
          </w:p>
        </w:tc>
        <w:tc>
          <w:tcPr>
            <w:tcW w:w="144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行政单位</w:t>
            </w:r>
          </w:p>
        </w:tc>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正科级</w:t>
            </w:r>
          </w:p>
        </w:tc>
        <w:tc>
          <w:tcPr>
            <w:tcW w:w="286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7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廊坊市广阳区群众艺术馆</w:t>
            </w:r>
          </w:p>
        </w:tc>
        <w:tc>
          <w:tcPr>
            <w:tcW w:w="144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事业单位</w:t>
            </w:r>
          </w:p>
        </w:tc>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正股级</w:t>
            </w:r>
          </w:p>
        </w:tc>
        <w:tc>
          <w:tcPr>
            <w:tcW w:w="286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7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廊坊市广阳区公共图书馆</w:t>
            </w:r>
          </w:p>
        </w:tc>
        <w:tc>
          <w:tcPr>
            <w:tcW w:w="144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事业单位</w:t>
            </w:r>
          </w:p>
        </w:tc>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正股级</w:t>
            </w:r>
          </w:p>
        </w:tc>
        <w:tc>
          <w:tcPr>
            <w:tcW w:w="286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0"/>
                <w:szCs w:val="30"/>
              </w:rPr>
            </w:pPr>
            <w:r>
              <w:rPr>
                <w:rFonts w:ascii="仿宋" w:eastAsia="仿宋" w:cs="宋体"/>
                <w:kern w:val="0"/>
                <w:sz w:val="30"/>
                <w:szCs w:val="30"/>
              </w:rPr>
              <w:t>财政性资金基本保证</w:t>
            </w:r>
          </w:p>
        </w:tc>
      </w:tr>
    </w:tbl>
    <w:p>
      <w:pPr>
        <w:widowControl/>
        <w:spacing w:line="360" w:lineRule="atLeast"/>
        <w:jc w:val="left"/>
        <w:rPr>
          <w:rFonts w:ascii="仿宋" w:eastAsia="仿宋" w:cs="宋体"/>
          <w:color w:val="000000"/>
          <w:kern w:val="0"/>
          <w:sz w:val="32"/>
          <w:szCs w:val="32"/>
        </w:rPr>
      </w:pPr>
      <w:r>
        <w:rPr>
          <w:rFonts w:hint="eastAsia" w:ascii="黑体" w:eastAsia="黑体" w:cs="宋体"/>
          <w:bCs/>
          <w:color w:val="000000"/>
          <w:kern w:val="0"/>
          <w:sz w:val="32"/>
          <w:szCs w:val="32"/>
        </w:rPr>
        <w:t xml:space="preserve">    二、部门预算安排的总体情况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eastAsia="仿宋" w:cs="Calibri"/>
          <w:color w:val="000000"/>
          <w:kern w:val="0"/>
          <w:sz w:val="32"/>
          <w:szCs w:val="32"/>
        </w:rPr>
        <w:t xml:space="preserve">    </w:t>
      </w:r>
      <w:r>
        <w:rPr>
          <w:rFonts w:eastAsia="仿宋" w:cs="Calibri"/>
          <w:color w:val="000000"/>
          <w:kern w:val="0"/>
          <w:sz w:val="32"/>
          <w:szCs w:val="32"/>
        </w:rPr>
        <w:t> </w:t>
      </w:r>
      <w:r>
        <w:rPr>
          <w:rFonts w:hint="eastAsia" w:ascii="仿宋" w:eastAsia="仿宋" w:cs="宋体"/>
          <w:color w:val="000000"/>
          <w:kern w:val="0"/>
          <w:sz w:val="32"/>
          <w:szCs w:val="32"/>
        </w:rPr>
        <w:t>按照预算管理有关规定，目前我区部门预算的编制实行综合预算制度，即全部收入和支出都反映在预算中。</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eastAsia="仿宋" w:cs="Calibri"/>
          <w:color w:val="000000"/>
          <w:kern w:val="0"/>
          <w:sz w:val="32"/>
          <w:szCs w:val="32"/>
        </w:rPr>
        <w:t xml:space="preserve">    </w:t>
      </w:r>
      <w:r>
        <w:rPr>
          <w:rFonts w:eastAsia="仿宋" w:cs="Calibri"/>
          <w:color w:val="000000"/>
          <w:kern w:val="0"/>
          <w:sz w:val="32"/>
          <w:szCs w:val="32"/>
        </w:rPr>
        <w:t> </w:t>
      </w:r>
      <w:r>
        <w:rPr>
          <w:rFonts w:eastAsia="楷体" w:cs="Calibri"/>
          <w:b/>
          <w:bCs/>
          <w:color w:val="000000"/>
          <w:kern w:val="0"/>
          <w:sz w:val="32"/>
          <w:szCs w:val="32"/>
        </w:rPr>
        <w:t> </w:t>
      </w:r>
      <w:r>
        <w:rPr>
          <w:rFonts w:hint="eastAsia" w:ascii="楷体" w:eastAsia="楷体" w:cs="宋体"/>
          <w:b/>
          <w:bCs/>
          <w:color w:val="000000"/>
          <w:kern w:val="0"/>
          <w:sz w:val="32"/>
          <w:szCs w:val="32"/>
        </w:rPr>
        <w:t>1、收入说明</w:t>
      </w:r>
      <w:r>
        <w:rPr>
          <w:rFonts w:hint="eastAsia" w:ascii="楷体" w:eastAsia="楷体" w:cs="宋体"/>
          <w:color w:val="000000"/>
          <w:kern w:val="0"/>
          <w:sz w:val="32"/>
          <w:szCs w:val="32"/>
        </w:rPr>
        <w:br w:type="textWrapping"/>
      </w:r>
      <w:r>
        <w:rPr>
          <w:rFonts w:hint="eastAsia" w:ascii="仿宋" w:eastAsia="仿宋" w:cs="宋体"/>
          <w:color w:val="000000"/>
          <w:kern w:val="0"/>
          <w:sz w:val="32"/>
          <w:szCs w:val="32"/>
        </w:rPr>
        <w:t xml:space="preserve">    2017年预算收入839.49万元，其中：一般公共预算收入839.49万元，政府性基金收入0万元。</w:t>
      </w:r>
    </w:p>
    <w:p>
      <w:pPr>
        <w:widowControl/>
        <w:spacing w:line="360" w:lineRule="atLeast"/>
        <w:ind w:firstLine="285"/>
        <w:jc w:val="left"/>
        <w:rPr>
          <w:rFonts w:ascii="楷体" w:eastAsia="楷体" w:cs="宋体"/>
          <w:color w:val="000000"/>
          <w:kern w:val="0"/>
          <w:sz w:val="32"/>
          <w:szCs w:val="32"/>
        </w:rPr>
      </w:pPr>
      <w:r>
        <w:rPr>
          <w:rFonts w:hint="eastAsia" w:ascii="楷体" w:eastAsia="楷体" w:cs="宋体"/>
          <w:b/>
          <w:bCs/>
          <w:color w:val="000000"/>
          <w:kern w:val="0"/>
          <w:sz w:val="32"/>
          <w:szCs w:val="32"/>
        </w:rPr>
        <w:t xml:space="preserve">    2、支出说明</w:t>
      </w:r>
    </w:p>
    <w:p>
      <w:pPr>
        <w:widowControl/>
        <w:spacing w:line="360" w:lineRule="atLeast"/>
        <w:ind w:firstLine="640" w:firstLineChars="200"/>
        <w:jc w:val="left"/>
        <w:rPr>
          <w:rFonts w:ascii="仿宋" w:eastAsia="仿宋" w:cs="宋体"/>
          <w:color w:val="000000"/>
          <w:kern w:val="0"/>
          <w:sz w:val="32"/>
          <w:szCs w:val="32"/>
        </w:rPr>
      </w:pPr>
      <w:r>
        <w:rPr>
          <w:rFonts w:hint="eastAsia" w:ascii="仿宋" w:eastAsia="仿宋" w:cs="宋体"/>
          <w:color w:val="000000"/>
          <w:kern w:val="0"/>
          <w:sz w:val="32"/>
          <w:szCs w:val="32"/>
        </w:rPr>
        <w:t>2017年支出预算839.49万元，其中基本支出618.92万元，包括人员经费和日常公用经费；项目支出220.57万元，主要为中央补助地方公共文化服务体系建设专项资金和图书馆免费开放专项资金。</w:t>
      </w:r>
    </w:p>
    <w:p>
      <w:pPr>
        <w:widowControl/>
        <w:spacing w:line="360" w:lineRule="atLeast"/>
        <w:jc w:val="left"/>
        <w:rPr>
          <w:rFonts w:ascii="仿宋" w:eastAsia="仿宋" w:cs="宋体"/>
          <w:color w:val="000000"/>
          <w:kern w:val="0"/>
          <w:sz w:val="32"/>
          <w:szCs w:val="32"/>
        </w:rPr>
      </w:pPr>
      <w:r>
        <w:rPr>
          <w:rFonts w:hint="eastAsia" w:ascii="仿宋" w:eastAsia="仿宋" w:cs="宋体"/>
          <w:b/>
          <w:bCs/>
          <w:color w:val="000000"/>
          <w:kern w:val="0"/>
          <w:sz w:val="32"/>
          <w:szCs w:val="32"/>
        </w:rPr>
        <w:t xml:space="preserve">    3、比上年增减情况</w:t>
      </w:r>
    </w:p>
    <w:p>
      <w:pPr>
        <w:widowControl/>
        <w:spacing w:line="360" w:lineRule="atLeast"/>
        <w:ind w:firstLine="640" w:firstLineChars="200"/>
        <w:jc w:val="left"/>
        <w:rPr>
          <w:rFonts w:ascii="仿宋" w:eastAsia="仿宋" w:cs="宋体"/>
          <w:color w:val="000000"/>
          <w:kern w:val="0"/>
          <w:sz w:val="32"/>
          <w:szCs w:val="32"/>
        </w:rPr>
      </w:pPr>
      <w:r>
        <w:rPr>
          <w:rFonts w:hint="eastAsia" w:ascii="仿宋" w:eastAsia="仿宋" w:cs="宋体"/>
          <w:color w:val="000000"/>
          <w:kern w:val="0"/>
          <w:sz w:val="32"/>
          <w:szCs w:val="32"/>
        </w:rPr>
        <w:t>2017年预算收支安排839.49万元，较2016年预算增加161.67万元，其中：基本支出增加91.07万元，主要为增加人员经费支出；项目支出增加70.6万元，主要为上级提前下达的转移支付资金增加。</w:t>
      </w: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 xml:space="preserve">    三、机关运行经费安排情况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eastAsia="仿宋" w:cs="Calibri"/>
          <w:color w:val="000000"/>
          <w:kern w:val="0"/>
          <w:sz w:val="32"/>
          <w:szCs w:val="32"/>
        </w:rPr>
        <w:t xml:space="preserve">    </w:t>
      </w:r>
      <w:r>
        <w:rPr>
          <w:rFonts w:hint="eastAsia" w:ascii="仿宋" w:eastAsia="仿宋" w:cs="宋体"/>
          <w:color w:val="000000"/>
          <w:kern w:val="0"/>
          <w:sz w:val="32"/>
          <w:szCs w:val="32"/>
        </w:rPr>
        <w:t>2017年预算安排我部门机关运行经费13.11万元，其中办公经费2.08万元，其他业务费11.03万元。</w:t>
      </w:r>
    </w:p>
    <w:p>
      <w:pPr>
        <w:widowControl/>
        <w:spacing w:line="360" w:lineRule="atLeast"/>
        <w:jc w:val="left"/>
        <w:rPr>
          <w:rFonts w:ascii="仿宋" w:eastAsia="仿宋" w:cs="宋体"/>
          <w:color w:val="000000"/>
          <w:kern w:val="0"/>
          <w:sz w:val="32"/>
          <w:szCs w:val="32"/>
        </w:rPr>
      </w:pPr>
      <w:r>
        <w:rPr>
          <w:rFonts w:hint="eastAsia" w:ascii="黑体" w:eastAsia="黑体" w:cs="宋体"/>
          <w:bCs/>
          <w:color w:val="000000"/>
          <w:kern w:val="0"/>
          <w:sz w:val="32"/>
          <w:szCs w:val="32"/>
        </w:rPr>
        <w:t xml:space="preserve">    四、财政拨款“三公”经费预算情况及增减变化原因</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eastAsia="仿宋" w:cs="Calibri"/>
          <w:color w:val="000000"/>
          <w:kern w:val="0"/>
          <w:sz w:val="32"/>
          <w:szCs w:val="32"/>
        </w:rPr>
        <w:t xml:space="preserve">    </w:t>
      </w:r>
      <w:r>
        <w:rPr>
          <w:rFonts w:hint="eastAsia" w:ascii="仿宋" w:eastAsia="仿宋"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jc w:val="left"/>
        <w:rPr>
          <w:rFonts w:ascii="楷体" w:eastAsia="楷体" w:cs="宋体"/>
          <w:color w:val="000000"/>
          <w:kern w:val="0"/>
          <w:sz w:val="32"/>
          <w:szCs w:val="32"/>
        </w:rPr>
      </w:pPr>
      <w:r>
        <w:rPr>
          <w:rFonts w:hint="eastAsia" w:ascii="黑体" w:eastAsia="黑体" w:cs="宋体"/>
          <w:bCs/>
          <w:color w:val="000000"/>
          <w:kern w:val="0"/>
          <w:sz w:val="32"/>
          <w:szCs w:val="32"/>
        </w:rPr>
        <w:t xml:space="preserve">    五、绩效预算信息</w:t>
      </w:r>
      <w:r>
        <w:rPr>
          <w:rFonts w:hint="eastAsia" w:ascii="黑体" w:eastAsia="黑体" w:cs="宋体"/>
          <w:color w:val="000000"/>
          <w:kern w:val="0"/>
          <w:sz w:val="32"/>
          <w:szCs w:val="32"/>
        </w:rPr>
        <w:br w:type="textWrapping"/>
      </w:r>
      <w:r>
        <w:rPr>
          <w:rFonts w:eastAsia="仿宋" w:cs="Calibri"/>
          <w:b/>
          <w:bCs/>
          <w:color w:val="000000"/>
          <w:kern w:val="0"/>
          <w:sz w:val="32"/>
          <w:szCs w:val="32"/>
        </w:rPr>
        <w:t>   </w:t>
      </w:r>
      <w:r>
        <w:rPr>
          <w:rFonts w:hint="eastAsia" w:ascii="楷体" w:eastAsia="楷体" w:cs="宋体"/>
          <w:b/>
          <w:bCs/>
          <w:color w:val="000000"/>
          <w:kern w:val="0"/>
          <w:sz w:val="32"/>
          <w:szCs w:val="32"/>
        </w:rPr>
        <w:t xml:space="preserve">   总体绩效目标：</w:t>
      </w:r>
      <w:r>
        <w:rPr>
          <w:rFonts w:hint="eastAsia" w:ascii="楷体" w:eastAsia="楷体" w:cs="宋体"/>
          <w:b/>
          <w:bCs/>
          <w:color w:val="000000"/>
          <w:kern w:val="0"/>
          <w:sz w:val="32"/>
          <w:szCs w:val="32"/>
        </w:rPr>
        <w:br w:type="textWrapping"/>
      </w:r>
      <w:r>
        <w:rPr>
          <w:rFonts w:eastAsia="仿宋" w:cs="Calibri"/>
          <w:b/>
          <w:bCs/>
          <w:color w:val="000000"/>
          <w:kern w:val="0"/>
          <w:sz w:val="32"/>
          <w:szCs w:val="32"/>
        </w:rPr>
        <w:t>    </w:t>
      </w:r>
      <w:r>
        <w:rPr>
          <w:rFonts w:hint="eastAsia" w:ascii="仿宋" w:eastAsia="仿宋" w:cs="宋体"/>
          <w:color w:val="000000"/>
          <w:kern w:val="0"/>
          <w:sz w:val="32"/>
          <w:szCs w:val="32"/>
        </w:rPr>
        <w:t>（一）文化工作：一巩固示范区创建工作成果，在硬件达标的同时，下大力抓好公益性文化服务软件建设，加大对文艺骨干的培训和培养力度，组织开展对文化站管理人员的业务技能培训，同时筹划专项艺术门类（美术、声乐等）的骨干培训。二是大力发展文化志愿者队伍，为公共文化服务体系提供有效支撑。群艺馆：一是文化品牌创建方面：1、民俗文化节 （“两节”活动：迎春书画展、书春活动、综艺演出一场、古曲演出一场、民间花会一场）15万元。 2、广阳区第二届青少年文化艺术节40万元。 3、广场群众文化艺术节（全民才艺展示）40万元。二是文化惠民演出12场24万。三是第四节“最炫民族风”广场舞比赛、合唱比赛10万元。四是免费开放地方配套资金7.5万元。五是非物质文化遗产项目保护10万元。六是暖气主管道改造20万元。七是书画摄影展5万元。</w:t>
      </w:r>
      <w:r>
        <w:rPr>
          <w:rFonts w:eastAsia="仿宋" w:cs="Calibri"/>
          <w:color w:val="000000"/>
          <w:kern w:val="0"/>
          <w:sz w:val="32"/>
          <w:szCs w:val="32"/>
        </w:rPr>
        <w:t>  </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二）体育工作：加快发展全民健身事业，建立更加完备的全民健身公黄服务体系，进一步提高人民群众的身体素质和健康水平，根据《河北省全民健身实施计划（2016－2020）〈（冀政发[2016]）43号〉精神，制定2017年广阳区全民体育健身活动所需经费：一是2017年全区指导员培训，共需4万元。二是2017年完成十个社区、十个村街体育健身器材更新改造工程，共需40万元。三是精品赛事扶持资金1、2017年健步行徒步大会；2、全国西部马术联赛；3、五人制足球联赛，共需30万元。</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三）旅游工作：根据（廊广办字[2016]65号）文件精神，制定广阳区旅游局所需经费，一是2017年旅游宣传推介活动以及学习培训考察，共需要100万元。二是2017年重点旅游片发展项目扶持，共需要400万元。三是2017年乡村旅游示范点、景区提升改造，共需要100万元。</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四）文化市场及新闻出版管理工作：一是继续分行业组织经营者开展法律、法规培训，提高其守法经营意识；二是在暑期、重要节假日和重大活动等关键节点和敏感时期，在全区范围内广泛开展“扫黄打非”集中治理及安全生产大检查活动，当前要重点开展打击非法医疗广告专项行动；三是做好明查暗访和举报受理工作，做到严格执法、热情服务。所需资金：一是农家书屋配套资金113250元。二是扫黄打电动机办公经费申请1万元。三是执法检查记录仪及相关设备2万元。</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eastAsia="楷体" w:cs="Calibri"/>
          <w:color w:val="000000"/>
          <w:kern w:val="0"/>
          <w:sz w:val="32"/>
          <w:szCs w:val="32"/>
        </w:rPr>
        <w:t> </w:t>
      </w:r>
      <w:r>
        <w:rPr>
          <w:rFonts w:hint="eastAsia" w:ascii="楷体" w:eastAsia="楷体" w:cs="宋体"/>
          <w:b/>
          <w:bCs/>
          <w:color w:val="000000"/>
          <w:kern w:val="0"/>
          <w:sz w:val="32"/>
          <w:szCs w:val="32"/>
        </w:rPr>
        <w:t>职责分类绩效目标：</w:t>
      </w:r>
    </w:p>
    <w:p>
      <w:pPr>
        <w:widowControl/>
        <w:spacing w:line="360" w:lineRule="atLeast"/>
        <w:jc w:val="left"/>
        <w:rPr>
          <w:rFonts w:ascii="仿宋" w:eastAsia="仿宋" w:cs="宋体"/>
          <w:color w:val="000000"/>
          <w:kern w:val="0"/>
          <w:sz w:val="32"/>
          <w:szCs w:val="32"/>
        </w:rPr>
      </w:pPr>
      <w:r>
        <w:rPr>
          <w:rFonts w:eastAsia="仿宋" w:cs="Calibri"/>
          <w:color w:val="000000"/>
          <w:kern w:val="0"/>
          <w:sz w:val="32"/>
          <w:szCs w:val="32"/>
        </w:rPr>
        <w:t>    </w:t>
      </w:r>
      <w:r>
        <w:rPr>
          <w:rFonts w:hint="eastAsia" w:ascii="仿宋" w:eastAsia="仿宋" w:cs="宋体"/>
          <w:color w:val="000000"/>
          <w:kern w:val="0"/>
          <w:sz w:val="32"/>
          <w:szCs w:val="32"/>
        </w:rPr>
        <w:t xml:space="preserve"> 广阳区文化体育局是主管全区文化、新闻出版、体育、旅游工作的区政府直属事业机构。主要职责分类绩效情况说明如下：</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一、贯彻执行国家、省、市关于文化、新闻出版、体育、旅游工作的方针、政策和法规；研究拟定全区文化、新闻出版、体育、旅游工作方针、政策和措施；编制并监督实施全区文化、新闻出版、体育、旅游事业中长期发展规划和年度执行计划。</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二、综合管理全区社会文化事业，指导各类社会文化事业的建设与发展，归口管理全区性重大文化活动，组织开展文明健康、丰富多彩的群众文化艺术活动，巩固和完善全区城乡文化阵地。</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三、指导和推动全区文化、艺术的研究、辅导及创作；抓好电影发行放映工作；宣传贯彻国家文物管理法规，健全文保网络；搞好图书馆建设，推进图书文献资源的开发利用。</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四、推进全民健身计划，指导和配合各个部门、各行业、各社会团体开展群众性体育活动，负责全民健身设施建设，实施国家体育锻炼标准，开展国民体质监测。</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五、统筹规划全区竞技体育发展，研究平衡全区体育竞赛、竞技运动项目的设置与重点布局，组织、参加和承办各类体育竞赛。</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六、研究拟定文化、新闻出版、体育、旅游经济政策，宏观调控、协调发展文化、新闻出版、体育、旅游产业，规划、指导文化体育旅游设施建设，审核、管理全区文艺、体育类社团。</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七、归口管理全区文化市场、新闻出版市场和体育市场，制定市场发展规划，研究市场发展态势，执行各类市场稽查工作，落实中央、省、市部署的“扫黄打非”工作任务。</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八、管理全区文化娱乐行业、互联网上网服务行业、音像行业、演出市场及其它文化经营活动；管理全区印刷业和出版物发行业，依法管理版权工作，实施新闻出版市场稽查；管理全区体育及旅游经营活动。</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九、对全区经营旅游业务的旅游区（点）、企事业单位及从业人员实施行业管理；指导旅游行业精神文明建设和创建优秀旅游城市工作。</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十、组织全区旅游资源普查，指导协调旅游资源开发、利用、保护工作；指导旅游招商引资工作；组织指导旅游业统计工作；制定全区旅游行业人才教育培训计划，指导全区旅游行业岗位培训及旅游教育工作；指导实施旅游从业人员的职业资格标准和等级标准。</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十一、承办区委、区政府交办的其他事项。</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11"/>
        <w:gridCol w:w="1079"/>
        <w:gridCol w:w="1877"/>
        <w:gridCol w:w="1877"/>
        <w:gridCol w:w="1036"/>
        <w:gridCol w:w="664"/>
        <w:gridCol w:w="602"/>
        <w:gridCol w:w="602"/>
        <w:gridCol w:w="6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506廊坊市广阳区文化体育局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文化艺术管理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156.21</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管理和指导全县文化建设，推进文化发展环境能力建设，提供公共文化服务、文化艺术资源建设和文化艺术生产</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文化发展环境健康向上，文化发展能力不断增强，文化艺术资源丰富，公共文化服务和文化艺术生产水平不断提高，河北文化影响力日益扩大。</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公共文化服务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156.21</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推动全县各级文化服务机构，建立公共文化资源共享机制，健全公共文化服务网络。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公共文化设施达标，机构和队伍健全，实现公共文化资源共享，形成城乡一体公共文化服务网络；公共文化产品生产和服务能力提高，基本公共文化服务标准化、均等化水平不断提高。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文化设施、机构、队伍健全率，公共文化场馆免费率，送公益流动文化服务进基层数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文化宣传交流</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20.00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指导、组织县优秀文化产品、服务和品牌活动宣传推介；组织全县对外文化交流活动。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对外文化交流档次和水平提升，对外文化贸易不断发展，我省文化国内国际影响力扩大。</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文化宣传推介</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20.00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对县文化进行综合宣传推介。</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推动更多文化项目入选世界、国家名录和扶持项目；推动更多文化项目取得大赛名次和被认知；提高县文化的影响力。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及时组织所有符合条件的项目申报推介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推介成功率和获奖率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20%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推介和获奖项目媒体宣传率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40%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文化保护</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0.30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指导、组织开展文化保护工作；组织实施优秀民族文化的传承普及工作；维护国家文化安全。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构建健全的文化保护体系，文化保护工作得到全面加强，优秀文化得到传承和发扬。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文化保护</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0.30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组织开展非物质文化保护工作；组织实施优秀民族文化的传承普及工作。 对城乡特色鲜明的艺术形式和文化活动进行扶持和保护，推动特色文化传承发扬。</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珍贵、濒危的非物质文化遗产得到有效抢救和保护，优秀特色文化得到传承和发扬。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健全各级非遗保护名录数量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2</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濒危和重点项目有效保护覆盖率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50%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30%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20%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展示和传承优秀项目数量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4</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1</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文化政务管理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44.06</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负责系统综合业务管理和机关综合事务管理。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确保各项业务工作谋划到位、顺利开展。保障机关工作正常高效运转。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44.06</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拟定全县文化艺术方面有关发展规划、政策制度，开展调查研究，履行文化市场监管职责，开展文化宣传、保护等业务管理工作。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确保各项业务工作谋划到位、顺利开展。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专项业务工作组织管理目标达标率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改善文化管理和发展硬件、软件水平；加强文化队伍和艺术教育建设；加快文化科研和信息化建设，保障机关运转。</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行政管理工作目标达标率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新闻出版广播影视事业建设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指导全县广播电影电视和信息网络视听节目服务科技工作，负责监管全县广播电影电视节目传输、监测和安全播出，指导督查全县广播电影电视安全运行工作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公共服务工程推广</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农家书屋建设、全民阅读活动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完成国家下达的广播电视直播卫星户户通工程、农村电影工作、县城数字影院升级改造、农家书屋建设、全民阅读活动、老放映员生活补助以及应急广播体系建设等任务目标。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农家书屋更新完成率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老放映员补助到位情况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完成目标60%以下</w:t>
            </w:r>
          </w:p>
        </w:tc>
      </w:tr>
    </w:tbl>
    <w:p>
      <w:pPr>
        <w:widowControl/>
        <w:spacing w:line="360" w:lineRule="atLeast"/>
        <w:ind w:firstLine="630"/>
        <w:jc w:val="left"/>
        <w:rPr>
          <w:rFonts w:hint="eastAsia" w:ascii="仿宋" w:eastAsia="仿宋" w:cs="宋体"/>
          <w:color w:val="000000"/>
          <w:kern w:val="0"/>
          <w:sz w:val="32"/>
          <w:szCs w:val="32"/>
        </w:rPr>
      </w:pPr>
      <w:r>
        <w:rPr>
          <w:rFonts w:hint="eastAsia" w:ascii="黑体" w:eastAsia="黑体" w:cs="宋体"/>
          <w:bCs/>
          <w:color w:val="000000"/>
          <w:kern w:val="0"/>
          <w:sz w:val="32"/>
          <w:szCs w:val="32"/>
        </w:rPr>
        <w:t>六、政府采购预算情况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2017年，我部门未安排政府采购预算。</w:t>
      </w:r>
    </w:p>
    <w:p>
      <w:pPr>
        <w:widowControl/>
        <w:spacing w:line="360" w:lineRule="atLeast"/>
        <w:ind w:firstLine="630"/>
        <w:jc w:val="left"/>
        <w:rPr>
          <w:rFonts w:ascii="仿宋" w:eastAsia="仿宋" w:cs="宋体"/>
          <w:color w:val="000000"/>
          <w:kern w:val="0"/>
          <w:sz w:val="32"/>
          <w:szCs w:val="32"/>
        </w:rPr>
      </w:pPr>
    </w:p>
    <w:p>
      <w:pPr>
        <w:widowControl/>
        <w:spacing w:line="360" w:lineRule="atLeast"/>
        <w:jc w:val="left"/>
        <w:rPr>
          <w:rFonts w:ascii="仿宋" w:eastAsia="仿宋" w:cs="宋体"/>
          <w:color w:val="000000"/>
          <w:kern w:val="0"/>
          <w:sz w:val="32"/>
          <w:szCs w:val="32"/>
        </w:rPr>
      </w:pP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91"/>
        <w:gridCol w:w="1066"/>
        <w:gridCol w:w="879"/>
        <w:gridCol w:w="1398"/>
        <w:gridCol w:w="879"/>
        <w:gridCol w:w="879"/>
        <w:gridCol w:w="902"/>
        <w:gridCol w:w="899"/>
        <w:gridCol w:w="899"/>
        <w:gridCol w:w="899"/>
        <w:gridCol w:w="818"/>
        <w:gridCol w:w="881"/>
        <w:gridCol w:w="881"/>
        <w:gridCol w:w="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eastAsia="仿宋" w:cs="Times New Roman"/>
                <w:b/>
                <w:sz w:val="32"/>
                <w:szCs w:val="32"/>
              </w:rPr>
            </w:pPr>
            <w:r>
              <w:rPr>
                <w:rFonts w:hint="eastAsia" w:ascii="仿宋" w:eastAsia="仿宋" w:cs="Times New Roman"/>
                <w:b/>
                <w:sz w:val="32"/>
                <w:szCs w:val="32"/>
              </w:rPr>
              <w:t>廊坊市广阳区文体局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eastAsia="仿宋" w:cs="Times New Roman"/>
                <w:b/>
                <w:sz w:val="32"/>
                <w:szCs w:val="32"/>
              </w:rPr>
            </w:pPr>
            <w:r>
              <w:rPr>
                <w:rFonts w:hint="eastAsia" w:ascii="仿宋" w:eastAsia="仿宋" w:cs="Times New Roman"/>
                <w:b/>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政府采购项目来源</w:t>
            </w:r>
          </w:p>
        </w:tc>
        <w:tc>
          <w:tcPr>
            <w:tcW w:w="303"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采购物品名称</w:t>
            </w:r>
          </w:p>
        </w:tc>
        <w:tc>
          <w:tcPr>
            <w:tcW w:w="482"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政府采购目录序号</w:t>
            </w:r>
          </w:p>
        </w:tc>
        <w:tc>
          <w:tcPr>
            <w:tcW w:w="303"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数量  单位</w:t>
            </w:r>
          </w:p>
        </w:tc>
        <w:tc>
          <w:tcPr>
            <w:tcW w:w="303"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数量</w:t>
            </w:r>
          </w:p>
        </w:tc>
        <w:tc>
          <w:tcPr>
            <w:tcW w:w="310"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单价</w:t>
            </w:r>
          </w:p>
        </w:tc>
        <w:tc>
          <w:tcPr>
            <w:tcW w:w="2105" w:type="pct"/>
            <w:gridSpan w:val="7"/>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项目名称</w:t>
            </w:r>
          </w:p>
        </w:tc>
        <w:tc>
          <w:tcPr>
            <w:tcW w:w="367"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总计</w:t>
            </w:r>
          </w:p>
        </w:tc>
        <w:tc>
          <w:tcPr>
            <w:tcW w:w="1510" w:type="pct"/>
            <w:gridSpan w:val="5"/>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当年部门预算安排资金</w:t>
            </w:r>
          </w:p>
        </w:tc>
        <w:tc>
          <w:tcPr>
            <w:tcW w:w="286"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合计</w:t>
            </w:r>
          </w:p>
        </w:tc>
        <w:tc>
          <w:tcPr>
            <w:tcW w:w="310"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一般公共预算拨款</w:t>
            </w:r>
          </w:p>
        </w:tc>
        <w:tc>
          <w:tcPr>
            <w:tcW w:w="282"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基金预算拨款</w:t>
            </w:r>
          </w:p>
        </w:tc>
        <w:tc>
          <w:tcPr>
            <w:tcW w:w="304"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财政专户核拨</w:t>
            </w:r>
          </w:p>
        </w:tc>
        <w:tc>
          <w:tcPr>
            <w:tcW w:w="304"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合　计</w:t>
            </w:r>
          </w:p>
        </w:tc>
        <w:tc>
          <w:tcPr>
            <w:tcW w:w="367"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482"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282" w:type="pct"/>
            <w:shd w:val="clear" w:color="auto" w:fill="auto"/>
            <w:vAlign w:val="center"/>
          </w:tcPr>
          <w:p>
            <w:pPr>
              <w:spacing w:line="300" w:lineRule="exact"/>
              <w:jc w:val="center"/>
              <w:rPr>
                <w:rFonts w:ascii="仿宋" w:eastAsia="仿宋" w:cs="Times New Roman"/>
                <w:b/>
                <w:sz w:val="32"/>
                <w:szCs w:val="32"/>
              </w:rPr>
            </w:pPr>
          </w:p>
        </w:tc>
        <w:tc>
          <w:tcPr>
            <w:tcW w:w="304" w:type="pct"/>
            <w:shd w:val="clear" w:color="auto" w:fill="auto"/>
            <w:vAlign w:val="center"/>
          </w:tcPr>
          <w:p>
            <w:pPr>
              <w:spacing w:line="300" w:lineRule="exact"/>
              <w:jc w:val="center"/>
              <w:rPr>
                <w:rFonts w:ascii="仿宋" w:eastAsia="仿宋" w:cs="Times New Roman"/>
                <w:b/>
                <w:sz w:val="32"/>
                <w:szCs w:val="32"/>
              </w:rPr>
            </w:pPr>
          </w:p>
        </w:tc>
        <w:tc>
          <w:tcPr>
            <w:tcW w:w="304" w:type="pct"/>
            <w:shd w:val="clear" w:color="auto" w:fill="auto"/>
            <w:vAlign w:val="center"/>
          </w:tcPr>
          <w:p>
            <w:pPr>
              <w:spacing w:line="300" w:lineRule="exact"/>
              <w:jc w:val="center"/>
              <w:rPr>
                <w:rFonts w:ascii="仿宋" w:eastAsia="仿宋" w:cs="Times New Roman"/>
                <w:b/>
                <w:sz w:val="32"/>
                <w:szCs w:val="32"/>
              </w:rPr>
            </w:pPr>
          </w:p>
        </w:tc>
        <w:tc>
          <w:tcPr>
            <w:tcW w:w="286" w:type="pct"/>
            <w:shd w:val="clear" w:color="auto" w:fill="auto"/>
            <w:vAlign w:val="center"/>
          </w:tcPr>
          <w:p>
            <w:pPr>
              <w:spacing w:line="300" w:lineRule="exact"/>
              <w:jc w:val="center"/>
              <w:rPr>
                <w:rFonts w:ascii="仿宋" w:eastAsia="仿宋"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 w:eastAsia="仿宋" w:cs="Times New Roman"/>
                <w:b/>
                <w:sz w:val="32"/>
                <w:szCs w:val="32"/>
              </w:rPr>
            </w:pPr>
          </w:p>
        </w:tc>
        <w:tc>
          <w:tcPr>
            <w:tcW w:w="367"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482"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282" w:type="pct"/>
            <w:shd w:val="clear" w:color="auto" w:fill="auto"/>
            <w:vAlign w:val="center"/>
          </w:tcPr>
          <w:p>
            <w:pPr>
              <w:spacing w:line="300" w:lineRule="exact"/>
              <w:jc w:val="center"/>
              <w:rPr>
                <w:rFonts w:ascii="仿宋" w:eastAsia="仿宋" w:cs="Times New Roman"/>
                <w:b/>
                <w:sz w:val="32"/>
                <w:szCs w:val="32"/>
              </w:rPr>
            </w:pPr>
          </w:p>
        </w:tc>
        <w:tc>
          <w:tcPr>
            <w:tcW w:w="304" w:type="pct"/>
            <w:shd w:val="clear" w:color="auto" w:fill="auto"/>
            <w:vAlign w:val="center"/>
          </w:tcPr>
          <w:p>
            <w:pPr>
              <w:spacing w:line="300" w:lineRule="exact"/>
              <w:jc w:val="center"/>
              <w:rPr>
                <w:rFonts w:ascii="仿宋" w:eastAsia="仿宋" w:cs="Times New Roman"/>
                <w:b/>
                <w:sz w:val="32"/>
                <w:szCs w:val="32"/>
              </w:rPr>
            </w:pPr>
          </w:p>
        </w:tc>
        <w:tc>
          <w:tcPr>
            <w:tcW w:w="304" w:type="pct"/>
            <w:shd w:val="clear" w:color="auto" w:fill="auto"/>
            <w:vAlign w:val="center"/>
          </w:tcPr>
          <w:p>
            <w:pPr>
              <w:spacing w:line="300" w:lineRule="exact"/>
              <w:jc w:val="center"/>
              <w:rPr>
                <w:rFonts w:ascii="仿宋" w:eastAsia="仿宋" w:cs="Times New Roman"/>
                <w:b/>
                <w:sz w:val="32"/>
                <w:szCs w:val="32"/>
              </w:rPr>
            </w:pPr>
          </w:p>
        </w:tc>
        <w:tc>
          <w:tcPr>
            <w:tcW w:w="286" w:type="pct"/>
            <w:shd w:val="clear" w:color="auto" w:fill="auto"/>
            <w:vAlign w:val="center"/>
          </w:tcPr>
          <w:p>
            <w:pPr>
              <w:spacing w:line="300" w:lineRule="exact"/>
              <w:jc w:val="center"/>
              <w:rPr>
                <w:rFonts w:ascii="仿宋" w:eastAsia="仿宋"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 w:eastAsia="仿宋" w:cs="Times New Roman"/>
                <w:sz w:val="32"/>
                <w:szCs w:val="32"/>
              </w:rPr>
            </w:pPr>
          </w:p>
        </w:tc>
        <w:tc>
          <w:tcPr>
            <w:tcW w:w="367"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482"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282" w:type="pct"/>
            <w:shd w:val="clear" w:color="auto" w:fill="auto"/>
            <w:vAlign w:val="center"/>
          </w:tcPr>
          <w:p>
            <w:pPr>
              <w:spacing w:line="300" w:lineRule="exact"/>
              <w:jc w:val="center"/>
              <w:rPr>
                <w:rFonts w:ascii="仿宋" w:eastAsia="仿宋" w:cs="Times New Roman"/>
                <w:sz w:val="32"/>
                <w:szCs w:val="32"/>
              </w:rPr>
            </w:pPr>
          </w:p>
        </w:tc>
        <w:tc>
          <w:tcPr>
            <w:tcW w:w="304" w:type="pct"/>
            <w:shd w:val="clear" w:color="auto" w:fill="auto"/>
            <w:vAlign w:val="center"/>
          </w:tcPr>
          <w:p>
            <w:pPr>
              <w:spacing w:line="300" w:lineRule="exact"/>
              <w:jc w:val="center"/>
              <w:rPr>
                <w:rFonts w:ascii="仿宋" w:eastAsia="仿宋" w:cs="Times New Roman"/>
                <w:sz w:val="32"/>
                <w:szCs w:val="32"/>
              </w:rPr>
            </w:pPr>
          </w:p>
        </w:tc>
        <w:tc>
          <w:tcPr>
            <w:tcW w:w="304" w:type="pct"/>
            <w:shd w:val="clear" w:color="auto" w:fill="auto"/>
            <w:vAlign w:val="center"/>
          </w:tcPr>
          <w:p>
            <w:pPr>
              <w:spacing w:line="300" w:lineRule="exact"/>
              <w:jc w:val="center"/>
              <w:rPr>
                <w:rFonts w:ascii="仿宋" w:eastAsia="仿宋" w:cs="Times New Roman"/>
                <w:sz w:val="32"/>
                <w:szCs w:val="32"/>
              </w:rPr>
            </w:pPr>
          </w:p>
        </w:tc>
        <w:tc>
          <w:tcPr>
            <w:tcW w:w="286" w:type="pct"/>
            <w:shd w:val="clear" w:color="auto" w:fill="auto"/>
            <w:vAlign w:val="center"/>
          </w:tcPr>
          <w:p>
            <w:pPr>
              <w:spacing w:line="300" w:lineRule="exact"/>
              <w:jc w:val="center"/>
              <w:rPr>
                <w:rFonts w:asci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 w:eastAsia="仿宋" w:cs="Times New Roman"/>
                <w:sz w:val="32"/>
                <w:szCs w:val="32"/>
              </w:rPr>
            </w:pPr>
          </w:p>
        </w:tc>
        <w:tc>
          <w:tcPr>
            <w:tcW w:w="367"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482"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282" w:type="pct"/>
            <w:shd w:val="clear" w:color="auto" w:fill="auto"/>
            <w:vAlign w:val="center"/>
          </w:tcPr>
          <w:p>
            <w:pPr>
              <w:spacing w:line="300" w:lineRule="exact"/>
              <w:jc w:val="center"/>
              <w:rPr>
                <w:rFonts w:ascii="仿宋" w:eastAsia="仿宋" w:cs="Times New Roman"/>
                <w:sz w:val="32"/>
                <w:szCs w:val="32"/>
              </w:rPr>
            </w:pPr>
          </w:p>
        </w:tc>
        <w:tc>
          <w:tcPr>
            <w:tcW w:w="304" w:type="pct"/>
            <w:shd w:val="clear" w:color="auto" w:fill="auto"/>
            <w:vAlign w:val="center"/>
          </w:tcPr>
          <w:p>
            <w:pPr>
              <w:spacing w:line="300" w:lineRule="exact"/>
              <w:jc w:val="center"/>
              <w:rPr>
                <w:rFonts w:ascii="仿宋" w:eastAsia="仿宋" w:cs="Times New Roman"/>
                <w:sz w:val="32"/>
                <w:szCs w:val="32"/>
              </w:rPr>
            </w:pPr>
          </w:p>
        </w:tc>
        <w:tc>
          <w:tcPr>
            <w:tcW w:w="304" w:type="pct"/>
            <w:shd w:val="clear" w:color="auto" w:fill="auto"/>
            <w:vAlign w:val="center"/>
          </w:tcPr>
          <w:p>
            <w:pPr>
              <w:spacing w:line="300" w:lineRule="exact"/>
              <w:jc w:val="center"/>
              <w:rPr>
                <w:rFonts w:ascii="仿宋" w:eastAsia="仿宋" w:cs="Times New Roman"/>
                <w:sz w:val="32"/>
                <w:szCs w:val="32"/>
              </w:rPr>
            </w:pPr>
          </w:p>
        </w:tc>
        <w:tc>
          <w:tcPr>
            <w:tcW w:w="286" w:type="pct"/>
            <w:shd w:val="clear" w:color="auto" w:fill="auto"/>
            <w:vAlign w:val="center"/>
          </w:tcPr>
          <w:p>
            <w:pPr>
              <w:spacing w:line="300" w:lineRule="exact"/>
              <w:jc w:val="center"/>
              <w:rPr>
                <w:rFonts w:ascii="仿宋" w:eastAsia="仿宋" w:cs="Times New Roman"/>
                <w:sz w:val="32"/>
                <w:szCs w:val="32"/>
              </w:rPr>
            </w:pPr>
          </w:p>
        </w:tc>
      </w:tr>
    </w:tbl>
    <w:p>
      <w:pPr>
        <w:widowControl/>
        <w:spacing w:line="360" w:lineRule="atLeast"/>
        <w:jc w:val="left"/>
        <w:rPr>
          <w:rFonts w:ascii="仿宋" w:eastAsia="仿宋" w:cs="宋体"/>
          <w:color w:val="000000"/>
          <w:kern w:val="0"/>
          <w:sz w:val="32"/>
          <w:szCs w:val="32"/>
        </w:rPr>
      </w:pPr>
      <w:r>
        <w:rPr>
          <w:rFonts w:hint="eastAsia" w:ascii="黑体" w:eastAsia="黑体" w:cs="宋体"/>
          <w:bCs/>
          <w:color w:val="000000"/>
          <w:kern w:val="0"/>
          <w:sz w:val="32"/>
          <w:szCs w:val="32"/>
        </w:rPr>
        <w:t>七、国有资产信息</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我部门（含所属单位）上年末固定资产金额为330.87万元，我部门本年度无拟购置固定资产，</w:t>
      </w:r>
    </w:p>
    <w:p>
      <w:pPr>
        <w:widowControl/>
        <w:spacing w:line="360" w:lineRule="atLeast"/>
        <w:jc w:val="left"/>
        <w:rPr>
          <w:rFonts w:hint="eastAsia" w:ascii="仿宋" w:eastAsia="仿宋" w:cs="宋体"/>
          <w:color w:val="000000"/>
          <w:kern w:val="0"/>
          <w:sz w:val="32"/>
          <w:szCs w:val="32"/>
        </w:rPr>
      </w:pPr>
      <w:r>
        <w:rPr>
          <w:rFonts w:hint="eastAsia" w:ascii="仿宋" w:eastAsia="仿宋" w:cs="宋体"/>
          <w:color w:val="000000"/>
          <w:kern w:val="0"/>
          <w:sz w:val="32"/>
          <w:szCs w:val="32"/>
        </w:rPr>
        <w:t>详见下表。</w:t>
      </w:r>
    </w:p>
    <w:p>
      <w:pPr>
        <w:widowControl/>
        <w:spacing w:line="360" w:lineRule="atLeast"/>
        <w:jc w:val="left"/>
        <w:rPr>
          <w:rFonts w:hint="eastAsia" w:ascii="仿宋" w:eastAsia="仿宋" w:cs="宋体"/>
          <w:color w:val="000000"/>
          <w:kern w:val="0"/>
          <w:sz w:val="32"/>
          <w:szCs w:val="32"/>
        </w:rPr>
      </w:pPr>
    </w:p>
    <w:p>
      <w:pPr>
        <w:widowControl/>
        <w:spacing w:line="360" w:lineRule="atLeast"/>
        <w:jc w:val="left"/>
        <w:rPr>
          <w:rFonts w:hint="eastAsia" w:ascii="仿宋" w:eastAsia="仿宋" w:cs="宋体"/>
          <w:color w:val="000000"/>
          <w:kern w:val="0"/>
          <w:sz w:val="32"/>
          <w:szCs w:val="32"/>
        </w:rPr>
      </w:pPr>
    </w:p>
    <w:p>
      <w:pPr>
        <w:widowControl/>
        <w:spacing w:line="360" w:lineRule="atLeast"/>
        <w:jc w:val="left"/>
        <w:rPr>
          <w:rFonts w:ascii="仿宋" w:eastAsia="仿宋" w:cs="宋体"/>
          <w:color w:val="000000"/>
          <w:kern w:val="0"/>
          <w:sz w:val="32"/>
          <w:szCs w:val="32"/>
        </w:rPr>
      </w:pPr>
    </w:p>
    <w:tbl>
      <w:tblPr>
        <w:tblStyle w:val="4"/>
        <w:tblW w:w="11102" w:type="dxa"/>
        <w:jc w:val="center"/>
        <w:tblCellSpacing w:w="0" w:type="dxa"/>
        <w:tblLayout w:type="autofit"/>
        <w:tblCellMar>
          <w:top w:w="0" w:type="dxa"/>
          <w:left w:w="0" w:type="dxa"/>
          <w:bottom w:w="0" w:type="dxa"/>
          <w:right w:w="0" w:type="dxa"/>
        </w:tblCellMar>
      </w:tblPr>
      <w:tblGrid>
        <w:gridCol w:w="4541"/>
        <w:gridCol w:w="2159"/>
        <w:gridCol w:w="4462"/>
      </w:tblGrid>
      <w:tr>
        <w:tblPrEx>
          <w:tblCellMar>
            <w:top w:w="0" w:type="dxa"/>
            <w:left w:w="0" w:type="dxa"/>
            <w:bottom w:w="0" w:type="dxa"/>
            <w:right w:w="0" w:type="dxa"/>
          </w:tblCellMar>
        </w:tblPrEx>
        <w:trPr>
          <w:trHeight w:val="705" w:hRule="atLeast"/>
          <w:tblCellSpacing w:w="0" w:type="dxa"/>
          <w:jc w:val="center"/>
        </w:trPr>
        <w:tc>
          <w:tcPr>
            <w:tcW w:w="11102" w:type="dxa"/>
            <w:gridSpan w:val="3"/>
            <w:noWrap/>
            <w:vAlign w:val="center"/>
          </w:tcPr>
          <w:p>
            <w:pPr>
              <w:widowControl/>
              <w:jc w:val="center"/>
              <w:rPr>
                <w:rFonts w:ascii="仿宋" w:eastAsia="仿宋" w:cs="宋体"/>
                <w:kern w:val="0"/>
                <w:sz w:val="32"/>
                <w:szCs w:val="32"/>
              </w:rPr>
            </w:pPr>
            <w:r>
              <w:rPr>
                <w:rFonts w:eastAsia="仿宋" w:cs="Calibri"/>
                <w:b/>
                <w:bCs/>
                <w:kern w:val="0"/>
                <w:sz w:val="32"/>
                <w:szCs w:val="32"/>
              </w:rPr>
              <w:t> </w:t>
            </w:r>
            <w:r>
              <w:rPr>
                <w:rFonts w:ascii="仿宋" w:eastAsia="仿宋" w:cs="宋体"/>
                <w:b/>
                <w:bCs/>
                <w:kern w:val="0"/>
                <w:sz w:val="32"/>
                <w:szCs w:val="32"/>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60" w:type="dxa"/>
            <w:gridSpan w:val="2"/>
            <w:noWrap/>
            <w:vAlign w:val="center"/>
          </w:tcPr>
          <w:p>
            <w:pPr>
              <w:widowControl/>
              <w:rPr>
                <w:rFonts w:ascii="仿宋" w:eastAsia="仿宋" w:cs="宋体"/>
                <w:kern w:val="0"/>
                <w:sz w:val="32"/>
                <w:szCs w:val="32"/>
              </w:rPr>
            </w:pPr>
            <w:r>
              <w:rPr>
                <w:rFonts w:ascii="仿宋" w:eastAsia="仿宋" w:cs="宋体"/>
                <w:b/>
                <w:bCs/>
                <w:kern w:val="0"/>
                <w:sz w:val="32"/>
                <w:szCs w:val="32"/>
              </w:rPr>
              <w:t>编制部门：廊坊市广阳区文化体育局</w:t>
            </w:r>
          </w:p>
        </w:tc>
        <w:tc>
          <w:tcPr>
            <w:tcW w:w="4442" w:type="dxa"/>
            <w:noWrap/>
            <w:vAlign w:val="center"/>
          </w:tcPr>
          <w:p>
            <w:pPr>
              <w:widowControl/>
              <w:rPr>
                <w:rFonts w:ascii="仿宋" w:eastAsia="仿宋" w:cs="宋体"/>
                <w:kern w:val="0"/>
                <w:sz w:val="32"/>
                <w:szCs w:val="32"/>
              </w:rPr>
            </w:pPr>
            <w:r>
              <w:rPr>
                <w:rFonts w:ascii="仿宋" w:eastAsia="仿宋" w:cs="宋体"/>
                <w:b/>
                <w:bCs/>
                <w:kern w:val="0"/>
                <w:sz w:val="32"/>
                <w:szCs w:val="32"/>
              </w:rPr>
              <w:t>截止时间：2016年12月31日</w:t>
            </w:r>
          </w:p>
        </w:tc>
      </w:tr>
      <w:tr>
        <w:tblPrEx>
          <w:tblCellMar>
            <w:top w:w="0" w:type="dxa"/>
            <w:left w:w="0" w:type="dxa"/>
            <w:bottom w:w="0" w:type="dxa"/>
            <w:right w:w="0" w:type="dxa"/>
          </w:tblCellMar>
        </w:tblPrEx>
        <w:trPr>
          <w:trHeight w:val="645" w:hRule="atLeast"/>
          <w:tblCellSpacing w:w="0" w:type="dxa"/>
          <w:jc w:val="center"/>
        </w:trPr>
        <w:tc>
          <w:tcPr>
            <w:tcW w:w="45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项</w:t>
            </w:r>
            <w:r>
              <w:rPr>
                <w:rFonts w:eastAsia="仿宋" w:cs="Calibri"/>
                <w:b/>
                <w:bCs/>
                <w:kern w:val="0"/>
                <w:sz w:val="32"/>
                <w:szCs w:val="32"/>
              </w:rPr>
              <w:t>  </w:t>
            </w:r>
            <w:r>
              <w:rPr>
                <w:rFonts w:ascii="仿宋" w:eastAsia="仿宋" w:cs="宋体"/>
                <w:b/>
                <w:bCs/>
                <w:kern w:val="0"/>
                <w:sz w:val="32"/>
                <w:szCs w:val="32"/>
              </w:rPr>
              <w:t xml:space="preserve"> 目</w:t>
            </w:r>
          </w:p>
        </w:tc>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数量</w:t>
            </w:r>
          </w:p>
        </w:tc>
        <w:tc>
          <w:tcPr>
            <w:tcW w:w="4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价值（金额单位：万元）</w:t>
            </w:r>
          </w:p>
        </w:tc>
      </w:tr>
      <w:tr>
        <w:tblPrEx>
          <w:tblCellMar>
            <w:top w:w="0" w:type="dxa"/>
            <w:left w:w="0" w:type="dxa"/>
            <w:bottom w:w="0" w:type="dxa"/>
            <w:right w:w="0" w:type="dxa"/>
          </w:tblCellMar>
        </w:tblPrEx>
        <w:trPr>
          <w:trHeight w:val="645" w:hRule="atLeast"/>
          <w:tblCellSpacing w:w="0" w:type="dxa"/>
          <w:jc w:val="center"/>
        </w:trPr>
        <w:tc>
          <w:tcPr>
            <w:tcW w:w="45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资产总额</w:t>
            </w:r>
          </w:p>
        </w:tc>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w:t>
            </w:r>
          </w:p>
        </w:tc>
        <w:tc>
          <w:tcPr>
            <w:tcW w:w="4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330.87</w:t>
            </w:r>
          </w:p>
        </w:tc>
      </w:tr>
      <w:tr>
        <w:tblPrEx>
          <w:tblCellMar>
            <w:top w:w="0" w:type="dxa"/>
            <w:left w:w="0" w:type="dxa"/>
            <w:bottom w:w="0" w:type="dxa"/>
            <w:right w:w="0" w:type="dxa"/>
          </w:tblCellMar>
        </w:tblPrEx>
        <w:trPr>
          <w:trHeight w:val="645" w:hRule="atLeast"/>
          <w:tblCellSpacing w:w="0" w:type="dxa"/>
          <w:jc w:val="center"/>
        </w:trPr>
        <w:tc>
          <w:tcPr>
            <w:tcW w:w="45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1、房屋（平方米）</w:t>
            </w:r>
          </w:p>
        </w:tc>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4113</w:t>
            </w:r>
          </w:p>
        </w:tc>
        <w:tc>
          <w:tcPr>
            <w:tcW w:w="4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106</w:t>
            </w:r>
          </w:p>
        </w:tc>
      </w:tr>
      <w:tr>
        <w:tblPrEx>
          <w:tblCellMar>
            <w:top w:w="0" w:type="dxa"/>
            <w:left w:w="0" w:type="dxa"/>
            <w:bottom w:w="0" w:type="dxa"/>
            <w:right w:w="0" w:type="dxa"/>
          </w:tblCellMar>
        </w:tblPrEx>
        <w:trPr>
          <w:trHeight w:val="645" w:hRule="atLeast"/>
          <w:tblCellSpacing w:w="0" w:type="dxa"/>
          <w:jc w:val="center"/>
        </w:trPr>
        <w:tc>
          <w:tcPr>
            <w:tcW w:w="45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其中：办公用房（平方米）</w:t>
            </w:r>
          </w:p>
        </w:tc>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1123</w:t>
            </w:r>
          </w:p>
        </w:tc>
        <w:tc>
          <w:tcPr>
            <w:tcW w:w="4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29.16</w:t>
            </w:r>
          </w:p>
        </w:tc>
      </w:tr>
      <w:tr>
        <w:tblPrEx>
          <w:tblCellMar>
            <w:top w:w="0" w:type="dxa"/>
            <w:left w:w="0" w:type="dxa"/>
            <w:bottom w:w="0" w:type="dxa"/>
            <w:right w:w="0" w:type="dxa"/>
          </w:tblCellMar>
        </w:tblPrEx>
        <w:trPr>
          <w:trHeight w:val="645" w:hRule="atLeast"/>
          <w:tblCellSpacing w:w="0" w:type="dxa"/>
          <w:jc w:val="center"/>
        </w:trPr>
        <w:tc>
          <w:tcPr>
            <w:tcW w:w="45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2、车辆（台、辆）</w:t>
            </w:r>
          </w:p>
        </w:tc>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4</w:t>
            </w:r>
          </w:p>
        </w:tc>
        <w:tc>
          <w:tcPr>
            <w:tcW w:w="4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64.64</w:t>
            </w:r>
          </w:p>
        </w:tc>
      </w:tr>
      <w:tr>
        <w:tblPrEx>
          <w:tblCellMar>
            <w:top w:w="0" w:type="dxa"/>
            <w:left w:w="0" w:type="dxa"/>
            <w:bottom w:w="0" w:type="dxa"/>
            <w:right w:w="0" w:type="dxa"/>
          </w:tblCellMar>
        </w:tblPrEx>
        <w:trPr>
          <w:trHeight w:val="645" w:hRule="atLeast"/>
          <w:tblCellSpacing w:w="0" w:type="dxa"/>
          <w:jc w:val="center"/>
        </w:trPr>
        <w:tc>
          <w:tcPr>
            <w:tcW w:w="45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eastAsia="仿宋" w:cs="宋体"/>
                <w:kern w:val="0"/>
                <w:sz w:val="32"/>
                <w:szCs w:val="32"/>
              </w:rPr>
            </w:pPr>
            <w:r>
              <w:rPr>
                <w:rFonts w:ascii="仿宋" w:eastAsia="仿宋" w:cs="宋体"/>
                <w:b/>
                <w:bCs/>
                <w:kern w:val="0"/>
                <w:sz w:val="32"/>
                <w:szCs w:val="32"/>
              </w:rPr>
              <w:t>3、单价在50万元以上的设备</w:t>
            </w:r>
          </w:p>
        </w:tc>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0</w:t>
            </w:r>
          </w:p>
        </w:tc>
        <w:tc>
          <w:tcPr>
            <w:tcW w:w="4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0.00</w:t>
            </w:r>
          </w:p>
        </w:tc>
      </w:tr>
      <w:tr>
        <w:tblPrEx>
          <w:tblCellMar>
            <w:top w:w="0" w:type="dxa"/>
            <w:left w:w="0" w:type="dxa"/>
            <w:bottom w:w="0" w:type="dxa"/>
            <w:right w:w="0" w:type="dxa"/>
          </w:tblCellMar>
        </w:tblPrEx>
        <w:trPr>
          <w:trHeight w:val="645" w:hRule="atLeast"/>
          <w:tblCellSpacing w:w="0" w:type="dxa"/>
          <w:jc w:val="center"/>
        </w:trPr>
        <w:tc>
          <w:tcPr>
            <w:tcW w:w="45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4、其他固定资产</w:t>
            </w:r>
          </w:p>
        </w:tc>
        <w:tc>
          <w:tcPr>
            <w:tcW w:w="2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p>
        </w:tc>
        <w:tc>
          <w:tcPr>
            <w:tcW w:w="4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160.23</w:t>
            </w:r>
          </w:p>
        </w:tc>
      </w:tr>
    </w:tbl>
    <w:p>
      <w:pPr>
        <w:pStyle w:val="8"/>
        <w:ind w:left="480" w:hanging="480" w:hangingChars="150"/>
        <w:rPr>
          <w:rFonts w:ascii="仿宋_GB2312" w:eastAsia="仿宋_GB2312"/>
          <w:b/>
          <w:bCs/>
          <w:sz w:val="32"/>
          <w:szCs w:val="32"/>
        </w:rPr>
      </w:pPr>
      <w:r>
        <w:rPr>
          <w:rFonts w:hint="eastAsia" w:ascii="黑体" w:eastAsia="黑体" w:cs="宋体"/>
          <w:bCs/>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 xml:space="preserve"> 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 w:eastAsia="仿宋" w:cs="宋体"/>
          <w:color w:val="000000"/>
          <w:kern w:val="0"/>
          <w:sz w:val="32"/>
          <w:szCs w:val="32"/>
        </w:rPr>
      </w:pPr>
      <w:r>
        <w:rPr>
          <w:rFonts w:hint="eastAsia" w:ascii="黑体" w:eastAsia="黑体" w:cs="宋体"/>
          <w:bCs/>
          <w:color w:val="000000"/>
          <w:kern w:val="0"/>
          <w:sz w:val="32"/>
          <w:szCs w:val="32"/>
        </w:rPr>
        <w:t>九、其它需要说明的事项</w:t>
      </w:r>
      <w:r>
        <w:rPr>
          <w:rFonts w:hint="eastAsia" w:ascii="黑体" w:eastAsia="黑体" w:cs="宋体"/>
          <w:color w:val="000000"/>
          <w:kern w:val="0"/>
          <w:sz w:val="32"/>
          <w:szCs w:val="32"/>
        </w:rPr>
        <w:br w:type="textWrapping"/>
      </w:r>
      <w:r>
        <w:rPr>
          <w:rFonts w:eastAsia="仿宋" w:cs="Calibri"/>
          <w:b/>
          <w:bCs/>
          <w:color w:val="000000"/>
          <w:kern w:val="0"/>
          <w:sz w:val="32"/>
          <w:szCs w:val="32"/>
        </w:rPr>
        <w:t>   </w:t>
      </w:r>
      <w:r>
        <w:rPr>
          <w:rFonts w:eastAsia="仿宋" w:cs="Calibri"/>
          <w:color w:val="000000"/>
          <w:kern w:val="0"/>
          <w:sz w:val="32"/>
          <w:szCs w:val="32"/>
        </w:rPr>
        <w:t> </w:t>
      </w:r>
      <w:r>
        <w:rPr>
          <w:rFonts w:hint="eastAsia" w:ascii="仿宋" w:eastAsia="仿宋" w:cs="宋体"/>
          <w:color w:val="000000"/>
          <w:kern w:val="0"/>
          <w:sz w:val="32"/>
          <w:szCs w:val="32"/>
        </w:rPr>
        <w:t>无其它需要说明的事项。</w:t>
      </w:r>
    </w:p>
    <w:p>
      <w:pPr>
        <w:rPr>
          <w:rFonts w:ascii="仿宋" w:eastAsia="仿宋"/>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EF1599"/>
    <w:rsid w:val="00282F4B"/>
    <w:rsid w:val="00E628BF"/>
    <w:rsid w:val="00EF1599"/>
    <w:rsid w:val="6BF7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character" w:customStyle="1" w:styleId="7">
    <w:name w:val="apple-converted-space"/>
    <w:basedOn w:val="5"/>
    <w:uiPriority w:val="0"/>
  </w:style>
  <w:style w:type="paragraph" w:customStyle="1" w:styleId="8">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1002</Words>
  <Characters>5716</Characters>
  <Lines>47</Lines>
  <Paragraphs>13</Paragraphs>
  <TotalTime>13</TotalTime>
  <ScaleCrop>false</ScaleCrop>
  <LinksUpToDate>false</LinksUpToDate>
  <CharactersWithSpaces>6705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2017-10-27T09:43:00Z</dcterms:created>
  <dc:creator>lenovo</dc:creator>
  <cp:lastModifiedBy>Administrator</cp:lastModifiedBy>
  <dcterms:modified xsi:type="dcterms:W3CDTF">2024-01-18T02:08:53Z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B56171EE730D42778BF226C421CA1EFB</vt:lpwstr>
  </property>
</Properties>
</file>