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cs="宋体"/>
          <w:b/>
          <w:bCs/>
          <w:color w:val="000000"/>
          <w:kern w:val="0"/>
          <w:sz w:val="44"/>
          <w:szCs w:val="44"/>
        </w:rPr>
      </w:pPr>
      <w:r>
        <w:rPr>
          <w:rFonts w:hint="eastAsia" w:ascii="黑体" w:eastAsia="黑体" w:cs="宋体"/>
          <w:b/>
          <w:bCs/>
          <w:color w:val="000000"/>
          <w:kern w:val="0"/>
          <w:sz w:val="44"/>
          <w:szCs w:val="44"/>
        </w:rPr>
        <w:t>廊坊市广阳区万庄镇人民政府2017年部门预算</w:t>
      </w:r>
      <w:r>
        <w:rPr>
          <w:rFonts w:hint="eastAsia" w:ascii="黑体" w:eastAsia="黑体"/>
          <w:sz w:val="44"/>
          <w:szCs w:val="44"/>
        </w:rPr>
        <w:t>信息</w:t>
      </w:r>
      <w:r>
        <w:rPr>
          <w:rFonts w:hint="eastAsia" w:ascii="黑体" w:eastAsia="黑体" w:cs="宋体"/>
          <w:b/>
          <w:bCs/>
          <w:color w:val="000000"/>
          <w:kern w:val="0"/>
          <w:sz w:val="44"/>
          <w:szCs w:val="44"/>
        </w:rPr>
        <w:t>公开</w:t>
      </w:r>
    </w:p>
    <w:p>
      <w:pPr>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廊坊市广阳区万庄镇人民政府</w:t>
      </w:r>
      <w:r>
        <w:rPr>
          <w:rFonts w:hint="eastAsia" w:ascii="仿宋_GB2312" w:eastAsia="仿宋_GB2312"/>
          <w:sz w:val="32"/>
          <w:szCs w:val="32"/>
        </w:rPr>
        <w:t>2017年部门预算公开如下：</w:t>
      </w:r>
    </w:p>
    <w:p>
      <w:pPr>
        <w:widowControl/>
        <w:spacing w:line="360" w:lineRule="atLeast"/>
        <w:ind w:left="647"/>
        <w:jc w:val="left"/>
        <w:rPr>
          <w:rFonts w:hint="eastAsia" w:ascii="仿宋_GB2312" w:eastAsia="仿宋_GB2312" w:cs="宋体"/>
          <w:b/>
          <w:bCs/>
          <w:color w:val="000000"/>
          <w:kern w:val="0"/>
          <w:sz w:val="32"/>
          <w:szCs w:val="32"/>
        </w:rPr>
      </w:pPr>
      <w:r>
        <w:rPr>
          <w:rFonts w:hint="eastAsia" w:ascii="黑体" w:hAnsi="黑体" w:eastAsia="黑体" w:cs="宋体"/>
          <w:b/>
          <w:bCs/>
          <w:color w:val="000000"/>
          <w:kern w:val="0"/>
          <w:sz w:val="32"/>
          <w:szCs w:val="32"/>
        </w:rPr>
        <w:t>一、</w:t>
      </w:r>
      <w:r>
        <w:rPr>
          <w:rFonts w:hint="eastAsia" w:ascii="黑体" w:eastAsia="黑体" w:cs="宋体"/>
          <w:b/>
          <w:bCs/>
          <w:color w:val="000000"/>
          <w:kern w:val="0"/>
          <w:sz w:val="32"/>
          <w:szCs w:val="32"/>
        </w:rPr>
        <w:t xml:space="preserve">部门职责及机构设置情况  </w:t>
      </w:r>
    </w:p>
    <w:p>
      <w:pPr>
        <w:widowControl/>
        <w:spacing w:line="360" w:lineRule="atLeast"/>
        <w:ind w:firstLine="643" w:firstLineChars="200"/>
        <w:jc w:val="left"/>
        <w:rPr>
          <w:rFonts w:hint="eastAsia" w:ascii="仿宋_GB2312" w:eastAsia="仿宋_GB2312" w:cs="宋体"/>
          <w:color w:val="000000"/>
          <w:kern w:val="0"/>
          <w:sz w:val="32"/>
          <w:szCs w:val="32"/>
        </w:rPr>
      </w:pPr>
      <w:r>
        <w:rPr>
          <w:rFonts w:hint="eastAsia" w:ascii="仿宋_GB2312" w:eastAsia="仿宋_GB2312" w:cs="宋体"/>
          <w:b/>
          <w:bCs/>
          <w:color w:val="000000"/>
          <w:kern w:val="0"/>
          <w:sz w:val="32"/>
          <w:szCs w:val="32"/>
        </w:rPr>
        <w:t>部门职责：</w:t>
      </w:r>
      <w:bookmarkStart w:id="0" w:name="_GoBack"/>
      <w:bookmarkEnd w:id="0"/>
    </w:p>
    <w:p>
      <w:pPr>
        <w:widowControl/>
        <w:spacing w:line="360" w:lineRule="atLeast"/>
        <w:ind w:left="638" w:leftChars="304"/>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一、全面贯彻执行党和国家的各项方针、政策、法律、法规。</w:t>
      </w:r>
    </w:p>
    <w:p>
      <w:pPr>
        <w:widowControl/>
        <w:spacing w:line="360" w:lineRule="atLeast"/>
        <w:ind w:left="638" w:leftChars="304"/>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二、制订全辖区经济和社会发展计划以经济建设为中心，全面推进改革开放和现代化建设。对社会经济发展战略、总体规划、指导方针及其它重大问题作出决策，认真组织实施，切实保证社会各项事业健康发展，集体经济实力不断增强，农民人均纯收入较大幅度增加，生活水平不断提高。</w:t>
      </w:r>
    </w:p>
    <w:p>
      <w:pPr>
        <w:widowControl/>
        <w:spacing w:line="360" w:lineRule="atLeast"/>
        <w:ind w:left="638" w:leftChars="304"/>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三、负责全辖区经济、文化、教育、科学、卫生、民政、司法、计划生育、城建建设、安全生产等行政管理和服务工作。指导、监督全辖区企业贯彻国家有关法律、法规和政策；贯彻执行上级有关教育、科技、卫生等方面的法律、法规和政策；贯彻执行有关计划生育的法律、法规和政策；贯彻执行上级有关村乡建设和国土管理等方面的政策、法律、法规；负责村乡建设和交通道路建设规划；负责全辖区交通、供水、绿化和环境综合整治工作；指导、监督、检查企业的质量管理、劳动保护、安全生产和环境保护等工作；为企业提供经济、技术、法律和信息等服务。贯彻执行上级有关社会综合治理工作的方针、政策和法律、法规。</w:t>
      </w:r>
    </w:p>
    <w:p>
      <w:pPr>
        <w:widowControl/>
        <w:spacing w:line="360" w:lineRule="atLeast"/>
        <w:ind w:left="638" w:leftChars="304"/>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四、编制办事处财政预算计划，做好经费的划拨和核算工作，并指导、协调、监督村街的财务、会计、审计、统计工作。贯彻执行国家有关财税法规和方针政策；负责抓好财源建设，编制和执行乡政府预决算计划，管理预算内外资金；负责管理和监督全辖区机关事业单位的财务活动；负责本级财务收支的监督管理，组织实施对全辖区村级财务收支、资金管理和盈余分配的监督。</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五、负责辖区居民的劳动和社会保障工作劳动和社会保障工作要突出民生为本，大力推进城乡统筹就业。要突出以保障为基础，努力扩大社会保险覆盖面。要强化制度建设，完善政策体系；强化扩面措施，扩大覆盖范围：强化基金监管，确保基金安全。</w:t>
      </w:r>
    </w:p>
    <w:p>
      <w:pPr>
        <w:widowControl/>
        <w:spacing w:line="360" w:lineRule="atLeast"/>
        <w:ind w:left="638" w:leftChars="304"/>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六、加强党的执政能力，使干部队伍素质显著提高。不断加强工委自身建设，增强工委抓农村基层组织建设的直接责任意识，形成农村基层组织建设常抓不懈的工作机制。通过党组织的战斗堡垒作用和党员的先锋模范作用，增强党在人民群众中的凝聚力和号召力。</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七、完成上级党委、政府交办的其它工作。</w:t>
      </w:r>
    </w:p>
    <w:p>
      <w:pPr>
        <w:widowControl/>
        <w:spacing w:line="360" w:lineRule="atLeast"/>
        <w:ind w:left="638" w:leftChars="304"/>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机构设置：</w:t>
      </w:r>
    </w:p>
    <w:p>
      <w:pPr>
        <w:widowControl/>
        <w:spacing w:line="360" w:lineRule="atLeast"/>
        <w:ind w:firstLine="560" w:firstLineChars="200"/>
        <w:jc w:val="left"/>
        <w:rPr>
          <w:rFonts w:ascii="仿宋_GB2312" w:eastAsia="仿宋_GB2312" w:cs="宋体"/>
          <w:b/>
          <w:bCs/>
          <w:color w:val="000000"/>
          <w:kern w:val="0"/>
          <w:sz w:val="28"/>
          <w:szCs w:val="28"/>
        </w:rPr>
      </w:pPr>
      <w:r>
        <w:rPr>
          <w:rFonts w:hint="eastAsia" w:ascii="仿宋_GB2312" w:eastAsia="仿宋_GB2312" w:cs="宋体"/>
          <w:color w:val="000000"/>
          <w:kern w:val="0"/>
          <w:sz w:val="28"/>
          <w:szCs w:val="28"/>
        </w:rPr>
        <w:t>部门机构设置情况</w:t>
      </w:r>
    </w:p>
    <w:tbl>
      <w:tblPr>
        <w:tblStyle w:val="4"/>
        <w:tblW w:w="9484"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269"/>
        <w:gridCol w:w="1295"/>
        <w:gridCol w:w="1272"/>
        <w:gridCol w:w="264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68" w:hRule="atLeast"/>
          <w:tblHeader/>
          <w:tblCellSpacing w:w="0" w:type="dxa"/>
          <w:jc w:val="center"/>
        </w:trPr>
        <w:tc>
          <w:tcPr>
            <w:tcW w:w="430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单位名称</w:t>
            </w:r>
          </w:p>
        </w:tc>
        <w:tc>
          <w:tcPr>
            <w:tcW w:w="130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单位性质</w:t>
            </w:r>
          </w:p>
        </w:tc>
        <w:tc>
          <w:tcPr>
            <w:tcW w:w="128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单位规格</w:t>
            </w:r>
          </w:p>
        </w:tc>
        <w:tc>
          <w:tcPr>
            <w:tcW w:w="266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30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廊坊市广阳区万庄镇人民政府</w:t>
            </w:r>
          </w:p>
        </w:tc>
        <w:tc>
          <w:tcPr>
            <w:tcW w:w="130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行政单位</w:t>
            </w:r>
          </w:p>
        </w:tc>
        <w:tc>
          <w:tcPr>
            <w:tcW w:w="128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正科级</w:t>
            </w:r>
          </w:p>
        </w:tc>
        <w:tc>
          <w:tcPr>
            <w:tcW w:w="2669"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30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廊坊市广阳区万庄镇财政所</w:t>
            </w:r>
          </w:p>
        </w:tc>
        <w:tc>
          <w:tcPr>
            <w:tcW w:w="130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事业单位</w:t>
            </w:r>
          </w:p>
        </w:tc>
        <w:tc>
          <w:tcPr>
            <w:tcW w:w="128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正股级</w:t>
            </w:r>
          </w:p>
        </w:tc>
        <w:tc>
          <w:tcPr>
            <w:tcW w:w="2669"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0" w:hRule="atLeast"/>
          <w:tblCellSpacing w:w="0" w:type="dxa"/>
          <w:jc w:val="center"/>
        </w:trPr>
        <w:tc>
          <w:tcPr>
            <w:tcW w:w="430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廊坊市广阳区万庄镇计生办</w:t>
            </w:r>
          </w:p>
        </w:tc>
        <w:tc>
          <w:tcPr>
            <w:tcW w:w="130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事业单位</w:t>
            </w:r>
          </w:p>
        </w:tc>
        <w:tc>
          <w:tcPr>
            <w:tcW w:w="1281"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正股级</w:t>
            </w:r>
          </w:p>
        </w:tc>
        <w:tc>
          <w:tcPr>
            <w:tcW w:w="2669"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30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廊坊市广阳区万庄镇农业办</w:t>
            </w:r>
          </w:p>
        </w:tc>
        <w:tc>
          <w:tcPr>
            <w:tcW w:w="130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事业单位</w:t>
            </w:r>
          </w:p>
        </w:tc>
        <w:tc>
          <w:tcPr>
            <w:tcW w:w="128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正股级</w:t>
            </w:r>
          </w:p>
        </w:tc>
        <w:tc>
          <w:tcPr>
            <w:tcW w:w="2669"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30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廊坊市广阳区万庄镇小学</w:t>
            </w:r>
          </w:p>
        </w:tc>
        <w:tc>
          <w:tcPr>
            <w:tcW w:w="130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事业单位</w:t>
            </w:r>
          </w:p>
        </w:tc>
        <w:tc>
          <w:tcPr>
            <w:tcW w:w="128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正股级</w:t>
            </w:r>
          </w:p>
        </w:tc>
        <w:tc>
          <w:tcPr>
            <w:tcW w:w="2669"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30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廊坊市广阳区万庄镇其他教育</w:t>
            </w:r>
          </w:p>
        </w:tc>
        <w:tc>
          <w:tcPr>
            <w:tcW w:w="130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事业单位</w:t>
            </w:r>
          </w:p>
        </w:tc>
        <w:tc>
          <w:tcPr>
            <w:tcW w:w="128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正股级</w:t>
            </w:r>
          </w:p>
        </w:tc>
        <w:tc>
          <w:tcPr>
            <w:tcW w:w="2669"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财政性资金基本保证</w:t>
            </w:r>
          </w:p>
        </w:tc>
      </w:tr>
    </w:tbl>
    <w:p>
      <w:pPr>
        <w:widowControl/>
        <w:spacing w:line="360" w:lineRule="atLeast"/>
        <w:jc w:val="left"/>
        <w:rPr>
          <w:rFonts w:hint="eastAsia"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黑体" w:eastAsia="黑体" w:cs="宋体"/>
          <w:b/>
          <w:bCs/>
          <w:color w:val="000000"/>
          <w:kern w:val="0"/>
          <w:sz w:val="32"/>
          <w:szCs w:val="32"/>
        </w:rPr>
        <w:t>二、部门预算安排的总体情况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p>
    <w:p>
      <w:pPr>
        <w:widowControl/>
        <w:spacing w:line="360" w:lineRule="atLeast"/>
        <w:ind w:firstLine="645"/>
        <w:jc w:val="left"/>
        <w:rPr>
          <w:rFonts w:hint="eastAsia" w:ascii="黑体" w:eastAsia="黑体" w:cs="宋体"/>
          <w:color w:val="000000"/>
          <w:kern w:val="0"/>
          <w:sz w:val="32"/>
          <w:szCs w:val="32"/>
        </w:rPr>
      </w:pPr>
      <w:r>
        <w:rPr>
          <w:rFonts w:hint="eastAsia" w:ascii="楷体_GB2312" w:eastAsia="楷体_GB2312" w:cs="宋体"/>
          <w:b/>
          <w:bCs/>
          <w:color w:val="000000"/>
          <w:kern w:val="0"/>
          <w:sz w:val="32"/>
          <w:szCs w:val="32"/>
        </w:rPr>
        <w:t>1、收入说明</w:t>
      </w:r>
      <w:r>
        <w:rPr>
          <w:rFonts w:hint="eastAsia" w:ascii="楷体_GB2312" w:eastAsia="楷体_GB2312" w:cs="宋体"/>
          <w:color w:val="000000"/>
          <w:kern w:val="0"/>
          <w:sz w:val="32"/>
          <w:szCs w:val="32"/>
        </w:rPr>
        <w:br w:type="textWrapping"/>
      </w:r>
      <w:r>
        <w:rPr>
          <w:rFonts w:hint="eastAsia" w:ascii="仿宋_GB2312" w:eastAsia="仿宋_GB2312" w:cs="宋体"/>
          <w:color w:val="000000"/>
          <w:kern w:val="0"/>
          <w:sz w:val="32"/>
          <w:szCs w:val="32"/>
        </w:rPr>
        <w:t xml:space="preserve">    2017年预算收入4560.40万元，其中：一般公共预算收入4560.40万元，政府性基金收入0万元。</w:t>
      </w:r>
      <w:r>
        <w:rPr>
          <w:rFonts w:hint="eastAsia" w:ascii="仿宋_GB2312" w:eastAsia="仿宋_GB2312" w:cs="宋体"/>
          <w:color w:val="000000"/>
          <w:kern w:val="0"/>
          <w:sz w:val="32"/>
          <w:szCs w:val="32"/>
        </w:rPr>
        <w:br w:type="textWrapping"/>
      </w:r>
      <w:r>
        <w:rPr>
          <w:rFonts w:hint="eastAsia" w:ascii="楷体_GB2312" w:eastAsia="楷体_GB2312" w:cs="宋体"/>
          <w:b/>
          <w:bCs/>
          <w:color w:val="000000"/>
          <w:kern w:val="0"/>
          <w:sz w:val="32"/>
          <w:szCs w:val="32"/>
        </w:rPr>
        <w:t xml:space="preserve">    2、支出说明</w:t>
      </w:r>
      <w:r>
        <w:rPr>
          <w:rFonts w:hint="eastAsia" w:ascii="楷体_GB2312" w:eastAsia="楷体_GB2312" w:cs="宋体"/>
          <w:color w:val="000000"/>
          <w:kern w:val="0"/>
          <w:sz w:val="32"/>
          <w:szCs w:val="32"/>
        </w:rPr>
        <w:br w:type="textWrapping"/>
      </w:r>
      <w:r>
        <w:rPr>
          <w:rFonts w:hint="eastAsia" w:ascii="仿宋_GB2312" w:eastAsia="仿宋_GB2312" w:cs="宋体"/>
          <w:color w:val="000000"/>
          <w:kern w:val="0"/>
          <w:sz w:val="32"/>
          <w:szCs w:val="32"/>
        </w:rPr>
        <w:t xml:space="preserve">    2017年支出预算4560.40万元，其中基本支出4560.40万元，包括人员经费和日常公用经费，项目支出0万元。</w:t>
      </w:r>
      <w:r>
        <w:rPr>
          <w:rFonts w:hint="eastAsia" w:ascii="仿宋_GB2312" w:eastAsia="仿宋_GB2312" w:cs="宋体"/>
          <w:color w:val="000000"/>
          <w:kern w:val="0"/>
          <w:sz w:val="32"/>
          <w:szCs w:val="32"/>
        </w:rPr>
        <w:br w:type="textWrapping"/>
      </w:r>
      <w:r>
        <w:rPr>
          <w:rFonts w:hint="eastAsia" w:ascii="楷体_GB2312" w:eastAsia="楷体_GB2312" w:cs="宋体"/>
          <w:b/>
          <w:bCs/>
          <w:color w:val="000000"/>
          <w:kern w:val="0"/>
          <w:sz w:val="32"/>
          <w:szCs w:val="32"/>
        </w:rPr>
        <w:t xml:space="preserve">    3、比上年增减情况</w:t>
      </w:r>
      <w:r>
        <w:rPr>
          <w:rFonts w:hint="eastAsia" w:ascii="楷体_GB2312" w:eastAsia="楷体_GB2312" w:cs="宋体"/>
          <w:color w:val="000000"/>
          <w:kern w:val="0"/>
          <w:sz w:val="32"/>
          <w:szCs w:val="32"/>
        </w:rPr>
        <w:br w:type="textWrapping"/>
      </w:r>
      <w:r>
        <w:rPr>
          <w:rFonts w:hint="eastAsia" w:ascii="仿宋_GB2312" w:eastAsia="仿宋_GB2312" w:cs="宋体"/>
          <w:color w:val="000000"/>
          <w:kern w:val="0"/>
          <w:sz w:val="32"/>
          <w:szCs w:val="32"/>
        </w:rPr>
        <w:t xml:space="preserve">    2017年预算收支安排4560.40万元，较2016年预算增加589.07万元，其中：基本支出增加589.07万元，主要为增加人员经费支出。</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 xml:space="preserve">    三、机关运行经费安排情况</w:t>
      </w:r>
      <w:r>
        <w:rPr>
          <w:rFonts w:hint="eastAsia" w:ascii="黑体" w:eastAsia="黑体" w:cs="宋体"/>
          <w:color w:val="000000"/>
          <w:kern w:val="0"/>
          <w:sz w:val="32"/>
          <w:szCs w:val="32"/>
        </w:rPr>
        <w:br w:type="textWrapping"/>
      </w:r>
      <w:r>
        <w:rPr>
          <w:rFonts w:hint="eastAsia" w:ascii="仿宋_GB2312" w:eastAsia="仿宋_GB2312" w:cs="宋体"/>
          <w:color w:val="000000"/>
          <w:kern w:val="0"/>
          <w:sz w:val="32"/>
          <w:szCs w:val="32"/>
        </w:rPr>
        <w:t xml:space="preserve">    2017年预算安排我部门机关运行经费174.61万元，其中办公经费24.61万元，其他业务费150万元。</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 xml:space="preserve">    四、财政拨款“三公”经费预算情况及增减变化原因</w:t>
      </w:r>
      <w:r>
        <w:rPr>
          <w:rFonts w:hint="eastAsia" w:ascii="黑体" w:eastAsia="黑体" w:cs="宋体"/>
          <w:color w:val="000000"/>
          <w:kern w:val="0"/>
          <w:sz w:val="32"/>
          <w:szCs w:val="32"/>
        </w:rPr>
        <w:br w:type="textWrapping"/>
      </w:r>
      <w:r>
        <w:rPr>
          <w:rFonts w:hint="eastAsia" w:ascii="仿宋_GB2312" w:eastAsia="仿宋_GB2312" w:cs="宋体"/>
          <w:color w:val="000000"/>
          <w:kern w:val="0"/>
          <w:sz w:val="32"/>
          <w:szCs w:val="32"/>
        </w:rPr>
        <w:t>2017年，我部门“三公”经费预算安排0万元，其中因公出国（境）费0万元；公务用车购置及运维费0万元（其中：公务用车购置费为0万元，公务用车运行费为0万元)；公务接待费0万元。与2016年持平、无增减变化。</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五、绩效预算信息</w:t>
      </w:r>
    </w:p>
    <w:p>
      <w:pPr>
        <w:widowControl/>
        <w:spacing w:line="360" w:lineRule="atLeast"/>
        <w:ind w:firstLine="645"/>
        <w:jc w:val="left"/>
        <w:rPr>
          <w:rFonts w:hint="eastAsia" w:ascii="仿宋_GB2312" w:eastAsia="仿宋_GB2312" w:cs="宋体"/>
          <w:color w:val="000000"/>
          <w:kern w:val="0"/>
          <w:sz w:val="32"/>
          <w:szCs w:val="32"/>
        </w:rPr>
      </w:pPr>
      <w:r>
        <w:rPr>
          <w:rFonts w:hint="eastAsia" w:ascii="仿宋_GB2312" w:eastAsia="仿宋_GB2312" w:cs="宋体"/>
          <w:b/>
          <w:bCs/>
          <w:color w:val="000000"/>
          <w:kern w:val="0"/>
          <w:sz w:val="32"/>
          <w:szCs w:val="32"/>
        </w:rPr>
        <w:t>总体绩效目标：</w:t>
      </w:r>
    </w:p>
    <w:p>
      <w:pPr>
        <w:widowControl/>
        <w:spacing w:line="360" w:lineRule="atLeast"/>
        <w:ind w:firstLine="645"/>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一、2017年是全面贯彻落实党的十八大和十八届三中、四中、五中全会精神、全面深化改革的关键年，是“十三五”的开局之年。万庄镇政府将在区委、区政府和镇党委的正确领导下，以邓小平理论、“三个代表”重要思想、科学发展观为指导，以宜居万庄、科技万庄、绿色万庄建设为总目标，以“解放思想、抢抓机遇、奋发作为、协同发展”大讨论活动为载体，以全面加快和深化改革、对接京津冀协同发展为主要抓手，振奋精神，扎实工作，加快推进万庄发展步伐，努力实现经济持续健康发展和社会和谐稳定，重点做好以下五个方面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一）抢抓机遇，实现经济持续增长。深入开展解放思想大讨论活动，抢抓京津冀协同发展机遇，优化招商引资环境，加强招商引资规范化管理，提高招商引资能力和水平，改善提升服务企业质量，积极承接京津转移产业。注重招商引资质量，引进实体型企业，特别是要以国寿养老公寓项目、悦榕庄度假村项目等重大项目的建设引进为驱动，努力培育新的优势产业和经济增长点。</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二）发挥优势，持续巩固农业基础。积极推广农业新技术，全面提升农业科技水平，确保粮食丰收。探索构建新型农业经营体系。强化土地流转中心职能，积极引导和规范农村土地流转，鼓励和支持本地农业种养能手适度规模经营土地。积极做好以三小营、浑酒营等村为试点的农村土地承包经营权确权登记工作。继续完善农业设施，做好镇村农田水利专项建设工作。继续做好惠农资金发放、为农信息平台建设、农产品安全监管、重大动物疫病防控、防台防汛等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三）改善民生，着力促进社会事业发展。继续加大扶贫帮困力度，对城乡困难户、农村五保户、困难老复员退伍军人、贫困散居孤儿等进行帮扶。继续巩固提高新农合、新农保制度，确保两项政策的全覆盖。推进新家庭计划开展，加强卫生人才队伍建设，提高医药卫生服务能力，促进公共卫生服务健康发展。完成国家公共文化服务体系示范区创建任务，抓好镇村文体活动广场建设等一批文化惠民工程，实施文化品牌战略，打造文化精品。加大农村特困户和贫困残疾人危房改造力度。着力优化生态环境，建设绿色宜居万庄，时刻紧抓大气污染防治，持续推进造林绿化，提高环保监管水平。</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四）联勤联动，全面提高社会管理水平。加大对无证照经营的整治力度，实现规范管理。进一步加强安全生产监管，落实日常监管、特殊时期监管和重点行业、重点领域监管。继续做好食品药品监管工作。持续发挥工会、团委、妇联等群团组织在社会管理中的作用。全面推动“平安建设”系列活动，主动出击打击镇域内违法犯罪行为。继续做好流动人口基础信息采集和管理工作，做好不稳定因素的排查工作。加强动拆迁居民和外来人员租用房屋的管理。继续落实禁毒工作、反邪教工作、社区矫正和刑释人员帮教工作以及预防和减少青少年违法犯罪工作。继续推进信访积案化解工作，严格落实领导包案和接访制度。加强村级组织参与化解矛盾的力度，充分利用村级组织基层情况熟、反应速度快、关系人员多的优势，在研处、稳控和化解矛盾中积极发挥先锋作用。健全“两队一会”和调解志愿者协会的建设工作，确保“小事不出村、大事不出镇、矛盾不上交”。</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（五）深化改革，逐步提高政府建设水平</w:t>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健全决策机制和程序，建立健全问责和纠错制度。加强和改进行政执法，加快建设法治政府。大力推进政务公开，切实提高政府的公信力。创新和改进服务管理方式，大力发展电子政务，健全部门协调配合机制，进一步理顺部门关系。加强政府绩效管理，不断提高行政效率和服务水平。大力精简会议活动，下决心改进会风文风。坚持勤俭办一切事业，严格控制“三公经费”，狠刹奢侈浪费之风。深入推进廉政风险防控管理，全面落实廉政建设责任制，加大从源头上预防和治理腐败力度。严格落实行政问责制度，加强效能监察，整治庸、懒、散、奢等不良风气。</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p>
    <w:p>
      <w:pPr>
        <w:widowControl/>
        <w:spacing w:line="360" w:lineRule="atLeast"/>
        <w:ind w:firstLine="645"/>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一、围绕区政府各时期的中心工作和重点工作，加强调查研究，及时了解、掌握经济和社会发展动态，及时反应信息情况，提出建议。</w:t>
      </w:r>
    </w:p>
    <w:p>
      <w:pPr>
        <w:widowControl/>
        <w:spacing w:line="360" w:lineRule="atLeast"/>
        <w:ind w:firstLine="645"/>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二、负责区政府各种会议的准备工作，协助区政领导同志组织各类会议。</w:t>
      </w:r>
    </w:p>
    <w:p>
      <w:pPr>
        <w:widowControl/>
        <w:spacing w:line="360" w:lineRule="atLeast"/>
        <w:ind w:firstLine="645"/>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三、负责区政府重要文、电的起草、审核把关和政府机关的文书处理工作；负责区政府机关的档案管理、印信管理和保密工作。</w:t>
      </w:r>
    </w:p>
    <w:p>
      <w:pPr>
        <w:widowControl/>
        <w:spacing w:line="360" w:lineRule="atLeast"/>
        <w:ind w:firstLine="645"/>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四、负责区政府工作报告、领导同志重要讲话及其他重要材料的起草、修改工作。</w:t>
      </w:r>
    </w:p>
    <w:p>
      <w:pPr>
        <w:widowControl/>
        <w:spacing w:line="360" w:lineRule="atLeast"/>
        <w:ind w:firstLine="645"/>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五、根据工作需要，负责与区委、人大、政协、纪委、中省直驻廊单位和驻廊部队的联系；协调乡镇、街办处、部门之间的关系和工作，对重要的问题提出处理意见，报区政府领导审定。</w:t>
      </w:r>
    </w:p>
    <w:p>
      <w:pPr>
        <w:widowControl/>
        <w:spacing w:line="360" w:lineRule="atLeast"/>
        <w:ind w:firstLine="645"/>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六、督促检查区政府各部门、各乡镇人民政府、街道办事处对省政府、市政府、区政府重要文件，区政府会议决定事项及区政府领导同志重要批示的执行、落实情况，并向区政府领导同志报告。</w:t>
      </w:r>
    </w:p>
    <w:p>
      <w:pPr>
        <w:widowControl/>
        <w:spacing w:line="360" w:lineRule="atLeast"/>
        <w:ind w:firstLine="645"/>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七、负责区政府机关值班工作，及时向区政府领导同志报告重要情况，协助领导同志组织处理突发事件、重大灾情和重大事故。</w:t>
      </w:r>
    </w:p>
    <w:p>
      <w:pPr>
        <w:widowControl/>
        <w:spacing w:line="360" w:lineRule="atLeast"/>
        <w:ind w:firstLine="645"/>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八、负责全国、省、市、区人大代表建议、批评、意见及全国、省、市、区政协提案的办理工作。</w:t>
      </w:r>
    </w:p>
    <w:p>
      <w:pPr>
        <w:widowControl/>
        <w:spacing w:line="360" w:lineRule="atLeast"/>
        <w:ind w:firstLine="645"/>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九、负责区政府外宾、内宾接待，公务接待工作。</w:t>
      </w:r>
    </w:p>
    <w:p>
      <w:pPr>
        <w:widowControl/>
        <w:spacing w:line="360" w:lineRule="atLeast"/>
        <w:ind w:firstLine="645"/>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十、负责经济体制改革工作，负责区政府机关事务管理工作。</w:t>
      </w:r>
    </w:p>
    <w:p>
      <w:pPr>
        <w:widowControl/>
        <w:spacing w:line="360" w:lineRule="atLeast"/>
        <w:ind w:firstLine="645"/>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十一、负责全区民族宗教工作；负责全区法制工作。</w:t>
      </w:r>
    </w:p>
    <w:p>
      <w:pPr>
        <w:widowControl/>
        <w:spacing w:line="360" w:lineRule="atLeast"/>
        <w:ind w:firstLine="645"/>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十二、办理区政府领导交办的其他事项。</w:t>
      </w:r>
    </w:p>
    <w:p>
      <w:pPr>
        <w:widowControl/>
        <w:spacing w:line="360" w:lineRule="atLeast"/>
        <w:ind w:firstLine="645"/>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部门职责-工作活动绩效目标</w:t>
      </w:r>
    </w:p>
    <w:tbl>
      <w:tblPr>
        <w:tblStyle w:val="4"/>
        <w:tblW w:w="975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123"/>
        <w:gridCol w:w="705"/>
        <w:gridCol w:w="1733"/>
        <w:gridCol w:w="1733"/>
        <w:gridCol w:w="1124"/>
        <w:gridCol w:w="870"/>
        <w:gridCol w:w="1010"/>
        <w:gridCol w:w="870"/>
        <w:gridCol w:w="5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Header/>
          <w:tblCellSpacing w:w="0" w:type="dxa"/>
          <w:jc w:val="center"/>
        </w:trPr>
        <w:tc>
          <w:tcPr>
            <w:tcW w:w="12255" w:type="dxa"/>
            <w:gridSpan w:val="5"/>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911廊坊市广阳区万庄镇</w:t>
            </w:r>
          </w:p>
        </w:tc>
        <w:tc>
          <w:tcPr>
            <w:tcW w:w="3300" w:type="dxa"/>
            <w:gridSpan w:val="4"/>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Header/>
          <w:tblCellSpacing w:w="0" w:type="dxa"/>
          <w:jc w:val="center"/>
        </w:trPr>
        <w:tc>
          <w:tcPr>
            <w:tcW w:w="2610" w:type="dxa"/>
            <w:vMerge w:val="restart"/>
            <w:tcBorders>
              <w:bottom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职责活动</w:t>
            </w:r>
          </w:p>
        </w:tc>
        <w:tc>
          <w:tcPr>
            <w:tcW w:w="1425" w:type="dxa"/>
            <w:vMerge w:val="restart"/>
            <w:tcBorders>
              <w:bottom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年度预算数</w:t>
            </w:r>
          </w:p>
        </w:tc>
        <w:tc>
          <w:tcPr>
            <w:tcW w:w="3315" w:type="dxa"/>
            <w:vMerge w:val="restart"/>
            <w:tcBorders>
              <w:bottom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内容描述</w:t>
            </w:r>
          </w:p>
        </w:tc>
        <w:tc>
          <w:tcPr>
            <w:tcW w:w="3315" w:type="dxa"/>
            <w:vMerge w:val="restart"/>
            <w:tcBorders>
              <w:bottom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绩效目标</w:t>
            </w:r>
          </w:p>
        </w:tc>
        <w:tc>
          <w:tcPr>
            <w:tcW w:w="1575" w:type="dxa"/>
            <w:vMerge w:val="restart"/>
            <w:tcBorders>
              <w:bottom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绩效指标</w:t>
            </w:r>
          </w:p>
        </w:tc>
        <w:tc>
          <w:tcPr>
            <w:tcW w:w="3300" w:type="dxa"/>
            <w:gridSpan w:val="4"/>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评价标准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Header/>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25" w:type="dxa"/>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优</w:t>
            </w:r>
          </w:p>
        </w:tc>
        <w:tc>
          <w:tcPr>
            <w:tcW w:w="825" w:type="dxa"/>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良</w:t>
            </w:r>
          </w:p>
        </w:tc>
        <w:tc>
          <w:tcPr>
            <w:tcW w:w="825" w:type="dxa"/>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中</w:t>
            </w:r>
          </w:p>
        </w:tc>
        <w:tc>
          <w:tcPr>
            <w:tcW w:w="825" w:type="dxa"/>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政务服务</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政务公开、镇政府、街办处会议管理、督察督办、政务联络等工作。</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突出政务、加强事务、提升服务，力求重点工作出精品，难点工作求突破、基础工作有创新、常规工作见特色。以机关干部作风量化指标为依据，增强了工作综合服务实力。</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政务公开</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承担镇、街办处政务公开暨行政权力公开透明运行工作领导小组的日常工作，指导和协调全镇政务公开及政务服务中心建设、推进行政服务体系标准化建设工作。</w:t>
            </w:r>
          </w:p>
        </w:tc>
        <w:tc>
          <w:tcPr>
            <w:tcW w:w="331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通过完成镇、街办处政务信息公开工作的指导监督工作，使全镇政府信息公开业务队伍素质不断提高，业务水平进一步提升；政府政务信息公开范围不断扩大，公开内容得到进一步细化。</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反映全镇及街办处政务公开工作程度</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政务联络</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负责管理县政府驻外办事处工作。负责县领导、县有关部门公务活动的接待安排；</w:t>
            </w:r>
          </w:p>
        </w:tc>
        <w:tc>
          <w:tcPr>
            <w:tcW w:w="331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做好区际间与本镇、街办处政务往来服务保障工作</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反映组织的与外地间的经济文化交流和信息采集活动情况</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做好县际间与我县政务往来服务保障工作</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反映对镇党委镇政府、街办处安排的重大活动联络服务工作完成情况</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会议管理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政府会议的准备和服务工作，协助政府领导组织会议决定事项的落实。</w:t>
            </w:r>
          </w:p>
        </w:tc>
        <w:tc>
          <w:tcPr>
            <w:tcW w:w="331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做好街道及乡镇政府会议保障；严格召开的会议审批，控制会议费开支规模。</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反映纳入以街道及镇政府名义召开会议名单的会议数量占全年以街道政府名义召开会议数量的比率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督查督办</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督促检查街道各部门对政府决定事项及政府领导重要指示的执行落实情况并跟踪调研，及时向领导报告。组织承办人大代表和政协提案工作。</w:t>
            </w:r>
          </w:p>
        </w:tc>
        <w:tc>
          <w:tcPr>
            <w:tcW w:w="331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确保街道决定事项及街道领导重要指示得到贯彻落实。</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反映对市政府和区政府决定事项及市政府、区政府领导重要指示落实情况</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应急管理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基层政府值班工作，及时报告重要情况，传达和督促落实镇政府领导指示。协助镇政府领导做好需由基层政府组织处理的突发事件应急处置工作。</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建设运行维护好镇政府应急平台，实现各种实用功能，有效保证镇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镇镇、各部门应急工作，确保信息报送及时畅通，不出差错和问题。</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应急管理</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政府值班工作，及时报告重要情况，传达和督促落实镇政府领导指示。协助镇政府领导做好需由镇政府组织处理的突发事件应急处置工作。</w:t>
            </w:r>
          </w:p>
        </w:tc>
        <w:tc>
          <w:tcPr>
            <w:tcW w:w="331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维护好本地政府应急平台，确保全镇、街办处应急工作顺利完成；各类突发事件得到及时妥善处置</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反映全镇应急平台互联互通，各种实用功能完备，上传下达情况</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维护好本地政府应急平台，确保全镇、街办处应急工作顺利完成；各类突发事件得到及时妥善处置</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反映全镇突发事件是否能够得到及时发现并部署处理措施情况</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残疾人综合业务管理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对持证残疾人需求情况进行调查，对残疾人状况进行动态监测，加强和规范残疾人基层组织建设，加大残疾人就业保障金的征收力度，加强残疾人工作信息化建设和基础研究</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摸清残疾人底数，增强基层服务残疾人的能力，确保残疾人就业保障金的稳定增收；构建残疾人公共服务网络化平台。</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综合业务管理</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设施设备运转保障、残疾人组织建设、工作信息化建设等项工作</w:t>
            </w:r>
          </w:p>
        </w:tc>
        <w:tc>
          <w:tcPr>
            <w:tcW w:w="331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发挥专门协会桥梁纽带作用，联系广大残疾人；提高残疾人证办证率；增强基层服务残疾人的能力；保障正常运转，促进残疾人事业发展。</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对残疾人情况调查的基本信息准确的人数占被抽查核实人数的比例</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发挥专门协会桥梁纽带作用，联系广大残疾人；提高残疾人证办证率；增强基层服务残疾人的能力；保障正常运转，促进残疾人事业发展。</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按照中国残联的要求开展活动，已开展的活动占计划活动的比例</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维护妇女儿童合法权益促进妇女儿童发展</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关注并加强研究涉及妇女切身利益的热点、难点问题，及时向镇委和镇政府反映社情民意，提出对策建议。</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妇女综合素质和发展能力有较大提升。妇女儿童合法权益得到有效维护，男女平等基本国策宣传进一步深入人心。</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维权服务</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关注并加强研究涉及妇女切身利益的热点、难点问题，及时向县委和县政府反映社情民意，提出对策建议；参与有关妇女儿童政策和法律、法规草案的拟定，从源头上强化维护妇女儿童合法权益工作。</w:t>
            </w:r>
          </w:p>
        </w:tc>
        <w:tc>
          <w:tcPr>
            <w:tcW w:w="331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帮助权益受到侵害的妇女儿童解决困难和问题，提高广大妇女儿童的维权意识和维权能力，维护妇女儿童合法权益；规范妇女信访秩序，促进社会和谐稳定。</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反映法律援助妇女侵权案件办理情况</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帮助权益受到侵害的妇女儿童解决困难和问题，提高广大妇女儿童的维权意识和维权能力，维护妇女儿童合法权益；规范妇女信访秩序，促进社会和谐稳定。</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反映妇女信访代理工作开展情况</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帮助权益受到侵害的妇女儿童解决困难和问题，提高广大妇女儿童的维权意识和维权能力，维护妇女儿童合法权益；规范妇女信访秩序，促进社会和谐稳定。</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反映答复妇女来电来访情况</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工会事务管理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研究指导全镇工会自身建设；承担镇委、镇政府及全国总工会交办的其他事项。</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加强组织和干部队伍建设，提高干部业务素质和大型企事业单位工会领导干部水平，促进工会事业发展。</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综合事务管理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研究指导全镇工会自身改革和建设；负责工会干部管理制度和培训规划制定以及培训工作；承担镇委、镇政府及全国总工会交办的其他事项。</w:t>
            </w:r>
          </w:p>
        </w:tc>
        <w:tc>
          <w:tcPr>
            <w:tcW w:w="331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切实提高工会综合事务管理水平，保障单位的正常运转</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反映保障单位正常运转情况</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团委事务管理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负责团委综合业务管理。</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年度工作任务圆满完成，促进共青团事业发展。</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综合业务管理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参与制定全镇的青少年事业发展规划和青少年工作方针、政策;承担镇委、镇政府和团中央交办的有关事项。</w:t>
            </w:r>
          </w:p>
        </w:tc>
        <w:tc>
          <w:tcPr>
            <w:tcW w:w="331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高质量完成全镇青少年发展规划和方针政策的制定，圆满完成省委、省政府和团中央交办的各项任务。</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反映综合工作任务完成程度</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社会管理与服务</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承担对社会组织的登记管理；负责镇级行政区划、行政区域界线和地名管理工作；负责镇级婚姻登记、涉外儿童收养登记和管理工作；组织指导基层政权和社区建设；推进社会工作人员队伍建设</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推进全镇社会组织健康发展，优化行政区划空间布局，提高登记质量，规范婚姻登记、收养登记业务，建立健全城镇基层群众自治组织，逐步实现社会工作者专业化、职业化。</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基层政权和社区建设</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组织指导镇镇、街道办事处和基层群众自治组织、社区干部培训；指导村（居）民委员会民主选举、民主决策、民主管理和民主监督，村（居）务公开；指导城镇社区建设及服务管理工作。</w:t>
            </w:r>
          </w:p>
        </w:tc>
        <w:tc>
          <w:tcPr>
            <w:tcW w:w="331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建立健全城镇基层群众自治组织，在村（居）民委员会实行“四个民主”；按照“四有一创”标准开展城市社区建设，按照农村社区建设实验全覆盖创建标准开展农村社区建设。</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村民委员会换届选举率达到或超过上届水平。</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环保政务管理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负责环境保护系统综合业务管理和机关综合事务管理。</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加强环保保护管理工作。</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综合业务管理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加强污染治理技术研究及推广、排污费征收管理及环保专项资金使用。完善环保公共服务体系，加强环保创新能力，加大重点实验室及环境监测、监察的建设力度。</w:t>
            </w:r>
          </w:p>
        </w:tc>
        <w:tc>
          <w:tcPr>
            <w:tcW w:w="331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保障各项业务工作畅通</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综合业务按年度计划完成情况</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住建政务管理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负责住建系统综合业务管理和机关综合事务管理。</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加强全镇住房城镇建设人才队伍建设，提高人才业务素质，激励工作热情，提高行业水平。提升厅机关及行业信息化水平，保障机关办公网络、门户网站及各类业务系统安全稳定运行；加大信息宣传力度，创造良好舆论氛围。规范审批行为，推进政务公开，增加服务意识，提高工作效率。组织各设市城市、镇（市）上报建设行业统计数据。加强我省住房城镇建设事业对外交流。法律制度适应本行业经济社会发展需要,矛盾有效化解，政群关系和谐，促进行业健康发展。</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综合事务管理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推进住房和城镇建设行业信息化建设、建设系统综合管理等综合事务工作，保证行政工作高效有序运行。</w:t>
            </w:r>
          </w:p>
        </w:tc>
        <w:tc>
          <w:tcPr>
            <w:tcW w:w="331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加强全省住房城镇建设人才队伍建设，提高人才业务素质，激励工作热情，提高行业水平</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综合事务按年度计划完成情况</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宣传事务管理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负责系统综合业务管理和机关综合事务管理。</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确保各项业务工作谋划到位、顺利开展。保障机关工作正常高效运转。</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综合业务管理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开展宣传文化业务管理，加强政策业务宣传等。</w:t>
            </w:r>
          </w:p>
        </w:tc>
        <w:tc>
          <w:tcPr>
            <w:tcW w:w="331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确保各项业务工作谋划到位、顺利开展。</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通过重点工作督察督办，为全镇宣传思想文化重点工作顺利开展提供保障</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选举和任免</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检查监督代表法、选举法及其实施办法的贯彻实施；承担人大换届选举及人事任免服务工作；负责对镇政府组成人员主要负责人的目标责任书、述职报告的督办工作。</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根据工作需要和镇委的建议，在充分酝酿和审议的基础上，选举产生一府两院的领导成员，确保选出能力突出、责任心强、有开拓精神的同志担任。2、为确保有关选举的法律法规符合实际，在充分考察调研的基础上，实施对其进行修改。3、对镇政府组成人员主要负责人进行目标责任监督，确保依法履行职责，完成目标任务。</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换届选举及人事任免</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承担镇人大换届选举、镇领导人的选举和常委会人事任免的服务工作；指导镇人大换届选举工作；负责对镇政府组成人员和镇人民法院、镇人民检察院主要负责人的目标责任书、述职报告的督办工作。</w:t>
            </w:r>
          </w:p>
        </w:tc>
        <w:tc>
          <w:tcPr>
            <w:tcW w:w="331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确保镇镇人大换届选举工作顺利完成，提高组织换届选举工作水平；高质量完成机关领导人选举和常委会人事任免服务工作；高效督办有关部门负责人的目标责任书和述职报告。</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反映实际调研次数占年计划的比率</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监督检查及巡视督查</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监督检查党内法规政策、国家法律法规、党风廉政建设等的执行情况；履行镇政府纠正行业不正之风办公室职能；贯彻落实镇委有关部署，开展常态化全覆盖监督；做好对巡视工作领导小组、巡视组的服务保障工作。</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加大问责力度，促进“两个责任”有效落实。</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综合事务管理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宣传党的纪检工作方针、政策，教育纪检干部遵守和执行党章以及党内法规、党的路线方针政策和决议、国家法规等，全面提高纪检监察干部队伍素质。</w:t>
            </w:r>
          </w:p>
        </w:tc>
        <w:tc>
          <w:tcPr>
            <w:tcW w:w="331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巡视监督常态化、全覆盖。</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反映巡视工作完成程度</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组织事务管理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负责做好部机关机要、文秘、信访、会议、固定资产等工作的计划安排和管理；负责机关自身建设；负责老干部综合服务和保障工作；负责新闻工作网宣与舆情监控、处置。</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做好部机关机要、文秘、信访、会议、固定资产等工作的计划安排和管理；干部、人事政策科学合理；做好老干部综合服务和保障工作；做到新闻工作网宣与舆情监控到位、处置及时。</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综合事务管理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组织、干部工作综合研究，相关政策法规起草、制定、审核；组织、指导、协调全镇组织系统互联网宣传工作；信息、信访工作。</w:t>
            </w:r>
          </w:p>
        </w:tc>
        <w:tc>
          <w:tcPr>
            <w:tcW w:w="331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组织、指导、协调全镇组织系统互联网宣传工作；</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反映做好新闻网宣工作情况：每年召开组织系统新闻和网络宣传工作座谈会，建设 人以上的网宣队伍；每年举办全镇组织系统骨干网宣员培训班至少培训 名网宣员，两项工作各占50%比重，按实际完成情况计算完成率</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宣传事务管理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负责系统综合业务管理和机关综合事务管理。</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确保各项业务工作谋划到位、顺利开展。保障机关工作正常高效运转。</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综合业务管理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开展宣传文化业务管理，加强政策业务宣传等。</w:t>
            </w:r>
          </w:p>
        </w:tc>
        <w:tc>
          <w:tcPr>
            <w:tcW w:w="331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确保各项业务工作谋划到位、顺利开展。</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通过重点工作督察督办，为全镇宣传思想文化重点工作顺利开展提供保障</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政府办公室政务管理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按照有关要求，做好机关办公区房屋与附属设施的维修、维护工作；做好机关办公区绿化、美化工作；做好后勤保障和老干部管理服务工作。</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以服务领导和机关保障有力为目标，增强了优质后勤管理水平，通过加强公车管理，降低运行成本，为创建节约型机关打下了良好的基础。采取保障镇政府领导和机关工作办公环境的措施，提升了服务管理水平，保障了镇领导和机关工作的正常运转。及时了解国内外形势、党和国家的方针政策以及镇委、镇政府办公室的重要部署和要求，及时为老干部提供优质高效服务。</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综合业务管理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协助镇政府领导组织起草或审核上报市政府以及以镇政府办公室名义发布的公文；办理镇政府各部门和下级政府报送的文电；对镇政府部门间出现的争议问题提出处理意见；组织起草镇政府领导重要讲话及其他重要文稿；组织专题调研；承办镇政府领导交办的其他事项。</w:t>
            </w:r>
          </w:p>
        </w:tc>
        <w:tc>
          <w:tcPr>
            <w:tcW w:w="331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高质量审核公文，让镇领导满意；及时办理各类文电，确保事项在第一时间得到镇领导批示意见；高质量起草的镇领导重要讲话及重要文稿。</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反映各项综合业务工作完成情况</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水利科技支撑和公共服务</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组织指导全镇水利事业建设的科技创新和技术示范推广，为水利事业科学发展提供公共支撑。</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研制并示范推广水利工程和管理技术，提高水利事业管理水平。</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防汛抗旱</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负责全镇防汛抗旱组织管理、应急调度，指导水利行业信息化建设，建设应急度汛、抗旱应急、海堤、山洪灾害防治项目，支持基层防汛抗旱组织建设，储备管理防汛抗旱物资，建设水利信息化基础设施，提高全镇抗御水旱灾害能力。</w:t>
            </w:r>
          </w:p>
        </w:tc>
        <w:tc>
          <w:tcPr>
            <w:tcW w:w="331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发挥防汛抗旱减灾体系作用，最大限度地减少水旱灾害造成的人员伤亡和财产损失。</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实际完成工程数量占当年应完成工程数量的比例</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水利政务管理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依法依规履行机关日常管理职责。</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依法依规履行机关日常管理职责，确保水利工作正常运行。</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综合业务管理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协调推动、普查统计、督促指导、对外合作、行政审批、业务监管、水利立法、执法、处理水事纠纷，监督检查、人事管理、表彰奖励及其他依法行政管理活动。镇委、政府交办的其他事项等行政管理事项。</w:t>
            </w:r>
          </w:p>
        </w:tc>
        <w:tc>
          <w:tcPr>
            <w:tcW w:w="331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依法依规完成工作任务，推进科学决策</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工作任务完成情况</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林业生态建设</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贯彻执行国家、省、关于林业及其生态建设的方针、政策和法律法规；拟定林业及其生态环境建设、森林资源保护、国土绿化、荒漠化防治和林业产业发展的规定和方法，并组织实施监督和检查，组织开展森林资源、承担林业生态文明建设的有关工作。</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完成国家下达和省委省政府制定的造林任务及全镇森林覆盖率考核目标。有效改善生态环境。</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造林绿化</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制定全县造林绿化的指导性计划，贯彻落实国家、省有关标准和规程，指导公益林和商品林的培育，指导植树造林和以植树种草等生物措施防治水土流失工作，指导监督全民义务植树和造林绿化工作。承担林业应对气候变化的相关工作。承担县绿化委员会的日常工作</w:t>
            </w:r>
          </w:p>
        </w:tc>
        <w:tc>
          <w:tcPr>
            <w:tcW w:w="331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增加有林地面积，提高全镇绿化水平和森林覆盖率，改善生态环境。</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全年造林绿化工程完成合格面积统计数据。</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增加有林地面积，提高全县绿化水平和森林覆盖率，改善生态环境。</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林地面积净增加量与国土面积的比率。</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退耕还林</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按照规划和国家下达的年度计划，组织实施退耕还林、荒山荒地造林及巩固退耕成果等工程，兑现政策补助资金。</w:t>
            </w:r>
          </w:p>
        </w:tc>
        <w:tc>
          <w:tcPr>
            <w:tcW w:w="331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工程治理地区的生态状况得到明显改善。</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完成退耕还林任务面积与上级下达退耕还林任务面积的比率</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工程治理地区的生态状况得到明显改善。</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上级下达的退耕还林政策补助资金下达我镇兑现农户情况</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扶持农产品生产</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对生产者采取直接补贴的办法，支持推广优良品种、先进适用种养技术，实施科学管理,提高农产品产量、质量，提高生产经营效益。</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提高农产品产量和产量，优化农业产业结构，提高经济效益，增加农民收入。</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实施良种补贴</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按照国家、省部署，对全县主要粮食作物和猪、牛、羊、鸡等畜产品生产实施良种补贴。</w:t>
            </w:r>
          </w:p>
        </w:tc>
        <w:tc>
          <w:tcPr>
            <w:tcW w:w="331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小麦、玉米、水稻、棉花良种补贴全覆盖。畜牧、水产品种优良化率持续提高</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完成农业部分配数量的百分比</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小麦、玉米、水稻、棉花良种补贴全覆盖。畜牧、水产品种优良化率持续提高</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小麦、玉米、水稻、棉花良种补贴发放面积占当年种植面积的比例</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完善农村经营管理体制</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推进农村集体产权制度改革，完善农村土地承包制度，引导农村土地合理流转。创新农业经营主体。</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规范流转行为，优化资源配置，促进农民专业合作经济组织健康发展，加快新农村建设和城镇化进程。</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促进土地流转</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建设土地流转有形市场。</w:t>
            </w:r>
          </w:p>
        </w:tc>
        <w:tc>
          <w:tcPr>
            <w:tcW w:w="331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指导全镇建立运转顺畅、便捷高效的农村土地承包经营权流转服务平台，带动土地流转依法、有序开展</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当年实际达到的土地流转比上年提高的水平</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土地确权登记</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根据国家要求开展农村土地承包经营确权登记试点，并逐步向全镇全面推开。</w:t>
            </w:r>
          </w:p>
        </w:tc>
        <w:tc>
          <w:tcPr>
            <w:tcW w:w="331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完成全镇耕地面积50%的确权登记颁证目标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当年完成家庭承包地确权登记颁证面积数占全年计划的比例</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农村经营管理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支持农民专业合作组织规范、健康发展。建立健全农村集体“三资”管理制度，盘活集体存量资产资源，拓宽集体增收渠道，促进农村集体资产保值增值。</w:t>
            </w:r>
          </w:p>
        </w:tc>
        <w:tc>
          <w:tcPr>
            <w:tcW w:w="331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健全农村集体“三资”管理制度，指导农村经济组织健康、规范发展</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当年实现规范管理的村占全年计划的比例</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农业政务管理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开展农业宣传，推动农业政策落实。保障农业信息网络和各项政党工作的开展</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保障各项农业工作的正常运行</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综合业务管理</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调研提出规划和政策建议，工作部署、协调推动、普查统计、督促指导、对外合作、行政审批、业务监管及</w:t>
            </w:r>
            <w:r>
              <w:rPr>
                <w:rFonts w:hint="eastAsia" w:ascii="仿宋_GB2312" w:eastAsia="仿宋_GB2312" w:cs="宋体"/>
                <w:kern w:val="0"/>
                <w:sz w:val="28"/>
                <w:szCs w:val="28"/>
                <w:lang w:eastAsia="zh-CN"/>
              </w:rPr>
              <w:t>县委、县政府</w:t>
            </w:r>
            <w:r>
              <w:rPr>
                <w:rFonts w:hint="eastAsia" w:ascii="仿宋_GB2312" w:eastAsia="仿宋_GB2312" w:cs="宋体"/>
                <w:kern w:val="0"/>
                <w:sz w:val="28"/>
                <w:szCs w:val="28"/>
              </w:rPr>
              <w:t>交办的其他事项等行政管理事项。</w:t>
            </w:r>
          </w:p>
        </w:tc>
        <w:tc>
          <w:tcPr>
            <w:tcW w:w="331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依法做好行政审批和业务监管事项，完成县委、县政府并办事项</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完成交办事项占总交办事项的比例</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依法做好行政审批和业务监管事项，完成镇委、镇政府并办事项</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当年办理批复的行政审批事项占全年受理数量的比例</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计划生育</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提供各类计划生育技术服务，建立利益导向机制，开展出生人口性别比治理以及流动人口计划生育管理等各项工作。</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稳定适度的低生育水平，有效保障计划生育家庭生活水平，提高妇女生殖健康水平，降低出生缺陷的发生，有效遏制出生人口性别比偏高问题。</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计划生育服务</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免费为农村计划怀孕夫妇实行孕前优生健康检查；免费为公民提供计划生育避孕节育基本技术服务；免费为农村已婚育龄妇女提供生殖健康检查服务。</w:t>
            </w:r>
          </w:p>
        </w:tc>
        <w:tc>
          <w:tcPr>
            <w:tcW w:w="331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改善我镇农村计划怀孕夫妇健康状况，有效降低出生缺陷发生风险；为各类育龄人群提供安全、有效避孕节育技术服务；健全完善流动人口管理机制。</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进行免费孕前优生健康检查的目标人数占总目标人数比例</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改善我县农村计划怀孕夫妇健康状况，有效降低出生缺陷发生风险；为各类育龄人群提供安全、有效避孕节育技术服务；健全完善流动人口管理机制。</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实施免费计划生育基本服务的镇数量占全市比例</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改善我县农村计划怀孕夫妇健康状况，有效降低出生缺陷发生风险；为各类育龄人群提供安全、有效避孕节育技术服务；健全完善流动人口管理机制。</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流动人口计划生育服务管理信息反馈数量占应反馈数量的比例</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计划生育奖励扶持政策</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采取奖励、扶助、社会保障等机制，引导家庭和个人打取计划生育措施，提高计划生育家庭发展能力。</w:t>
            </w:r>
          </w:p>
        </w:tc>
        <w:tc>
          <w:tcPr>
            <w:tcW w:w="331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增强群众自觉实行计划生育的积极性，稳定适度的低生育水平，提高计划生育家庭发展能力，增强计划生育家庭的凝聚力及成员幸福感。</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接受奖励扶助的农村计划生育家庭数占农村计划生育家庭总数的比例</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增强群众自觉实行计划生育的积极性，稳定适度的低生育水平，提高计划生育家庭发展能力，增强计划生育家庭的凝聚力及成员幸福感。</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接受特别扶助的计划生育家庭数占计划生育特殊困难家庭数的比例</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计划生育群众工作</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协助政府开展群众自治、亲情关爱及幸福工程等工作，动员广大群众自觉参与和实行各项计划生育政策。</w:t>
            </w:r>
          </w:p>
        </w:tc>
        <w:tc>
          <w:tcPr>
            <w:tcW w:w="331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增进广大育龄群众和计生家庭福祉，提高群众自觉实行计划生育的积极性。</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开展计划生育基层群众自治的村（居）数量占村（居）总数的比例</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增进广大育龄群众和计生家庭福祉，提高群众自觉实行计划生育的积极性。</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开展失独家庭“亲情关爱”行动的乡镇数占乡镇总数的比例</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义务教育</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以农村教育为重点，推进义务教育均衡发展，建立中小学校舍安全保障机制，改善薄弱学校办学条件，促进公共教育资源向农村和经济欠发达地区倾斜。</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提高义务教育公用经费保障水平，改善办学条件，均衡配置基础教育资源，缩小城镇、区域、校际之间办学差距，落实学生资助政策。</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发展城市义务教育</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免除城市区中小学生学杂费，提高公用经费保障水平，为贫困中小学生免费提供教科书，对接收进城务工农民工子女的学校进行补助。改善县属中小学办学条件。</w:t>
            </w:r>
          </w:p>
        </w:tc>
        <w:tc>
          <w:tcPr>
            <w:tcW w:w="331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保障农村中小学正常运转，保证学校校舍安全，资助家庭经济困难寄宿学生，向农村义务教育学生和城市区家庭经济困难学生免费提供教科书</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农村义务教育阶段学生免费教科书发放率</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保障农村中小学正常运转，保证学校校舍安全，资助家庭经济困难寄宿学生，向农村义务教育学生和城市区家庭经济困难学生免费提供教科书</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新建、改扩建和维修校舍面积</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城市区中小学公用经费保障水平逐年提高。</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小学入学率</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城市区中小学公用经费保障水平逐年提高。</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初中入学率</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城市区中小学公用经费保障水平逐年提高。</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接受进城务工随迁子女就学人数（万人）</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从2014年开始，使贫困地区农村义务教育学校教学设施和生活设施满足基本生活需要，留守儿童学习和寄宿得到基本满足，村小学和教学点能够正常运转，县镇超大班额现象基本消除，教师数量、素质、结构基本适应教学需要</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初中生均设备金额</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从2014年开始，使贫困地区农村义务教育学校教学设施和生活设施满足基本生活需要，留守儿童学习和寄宿得到基本满足，村小学和教学点能够正常运转，县镇超大班额现象基本消除，教师数量、素质、结构基本适应教学需要</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小学生均校舍面积</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改善薄弱学校办学条件</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保障义务教育阶段薄弱学校基本教学条件，改善学校生活设施，办好必要的教学点，解决镇镇学校大班额问题，推进农村学校教育信息化。</w:t>
            </w:r>
          </w:p>
        </w:tc>
        <w:tc>
          <w:tcPr>
            <w:tcW w:w="331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从2014年开始，使贫困地区农村义务教育学校教学设施和生活设施满足基本生活需要，留守儿童学习和寄宿得到基本满足，村小学和教学点能够正常运转，镇镇超大班额现象基本消除，教师数量、素质、结构基本适应教学需要</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小学生均设备金额</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教师队伍建设</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主管全镇教师工作；负责全镇中小学教师资格标准的实施；统筹规划和指导学校教师及管理人员队伍建设。</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完成中小学骨干、学科教师培训，高层次、优秀人才引进计划，提高特殊群体教师待遇。</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教师培养与培训</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开展中小学骨干、学科教师等专项培训，完成中小学教师国家级培训计划。</w:t>
            </w:r>
          </w:p>
        </w:tc>
        <w:tc>
          <w:tcPr>
            <w:tcW w:w="331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培训中小学骨干教师、学科教师，提高中小学教师的业务水平和教学能力。</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培训教师人数</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培训中小学骨干教师、学科教师等1万人，提高中小学教师的业务水平和教学能力。</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培训合格率</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培训中小学骨干教师、学科教师等1万人，提高中小学教师的业务水平和教学能力。</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教师满意度</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提高特殊群体教师待遇</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为代课教师发放教龄补助，对边远乡村教师发放生活补助。</w:t>
            </w:r>
          </w:p>
        </w:tc>
        <w:tc>
          <w:tcPr>
            <w:tcW w:w="331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提高特殊群体教师待遇。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资金测算准确率</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提高特殊群体教师待遇。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院校资金发放到位率</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教育政务管理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负责教育系统综合业务管理和机关综合事务管理。</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依法行政，构建人民群众满意、勤政廉洁的政府部门；保障工作正常高效运行，相关工作顺利开展</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综合业务管理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做好教育政策制定、教育改革、教育科研、教育信息化建设等工作。</w:t>
            </w:r>
          </w:p>
        </w:tc>
        <w:tc>
          <w:tcPr>
            <w:tcW w:w="331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做好各项教育管理工作。</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镇教育局三定方案中所有职能职责均能顺利实施</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综合事物管理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做好会议培训组织，内部信息化建设与维护，财务和资产管理，标准化建设，基础设施维修，大型设备购置，人事、党务以及老干部管理等工作。负责直属企事业单位管理工作。</w:t>
            </w:r>
          </w:p>
        </w:tc>
        <w:tc>
          <w:tcPr>
            <w:tcW w:w="331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保障机关工作正常高效运转。</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机关正常运转</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一事一议财政奖补</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筹措资金支持全镇一事一议财政奖补村级公益事业建设。</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通过月小结上传支持农村面貌改造提升行动意见、修订后的一事一议财政奖补资金管理办法及项目管理办法、资金下达文件、资金测算分配表、向财政上报的下年度资金申请文件等资料，考评小组审核，形成考评指标执行数据。</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一事一议</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考评采用抽查法，抽取5个单位，测算分配额与实际分配数额相同，下年度资金申请文件正式印发（上报）得满分，每有1项未达到要求扣质量分值的。</w:t>
            </w:r>
          </w:p>
        </w:tc>
        <w:tc>
          <w:tcPr>
            <w:tcW w:w="331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完善一事一议财政奖补政策，改善农民人居环境。</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通过月小结上传支持农村面貌改造提升行动意见、修订后的一事一议财政奖补资金管理办法及项目管理办法、资金下达文件、资金测算分配表、向财政上报的下年度资金申请文件等资料，考评小组审核，形成考评指标执行数据。</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机关事业单位津贴补贴提标</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配合完善机关事业单位工资制度，落实国家和省出台的分类规范改革性补贴政策。</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被考评单位提供机关事业单位津贴补贴提标申请、领导签批意见、上级批复意见、全机关事业单位提高收入统计情况等资料，考评小组审核，形成考评指标执行数据。</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津贴规范</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机关事业单位津贴补贴提标申请、领导签批意见、上级批复意见、全镇机关事业单位提高收入统计情况等资料齐全，得满分。资料每少1项，扣质量分值。</w:t>
            </w:r>
          </w:p>
        </w:tc>
        <w:tc>
          <w:tcPr>
            <w:tcW w:w="331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实现津贴补贴规范有序提标，缩小不合理差距；严格执行规范津贴补贴工作纪律，及时纠正津贴补贴发放中存在的违规违纪行为。</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被考评单位提供机关事业单位津贴补贴提标申请、领导签批意见、上级批复意见、全镇机关事业单位提高收入统计情况等资料，考评小组审核，形成考评指标执行数据。</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总预算会计核算与管理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做好镇级财政总预算会计核算与管理工作。</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被考评单位提供拨款申请（拨款单）、对账单、等资料，考评小组审核，形成考评指标执行数据。</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会计核算</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拨付资金考评采取抽查方式，抽取10笔，按申请准确拨付资金、与人民银行（代理银行）资金账核对无误，得满分；有1笔未达要求扣质量分值。</w:t>
            </w:r>
          </w:p>
        </w:tc>
        <w:tc>
          <w:tcPr>
            <w:tcW w:w="331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被考评单位提供拨款申请（拨款单）、对账单、等资料，考评小组审核，</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被考评单位提供拨款申请（拨款单）、对账单、等资料，考评小组审核，形成考评指标执行数据。</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预算执行数据统计分析</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旬报、月报数据汇总、制作、报送，每月起草全镇财政预算执行分析，全镇预算执行情况通报起草及下发通报。</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审核评价。被考评单位按照序时进度或时间节点要求，通过月小结上传上报的旬月报数据、《预算执行收支分析月报》、《全镇预算执行情况通报》等资料，考评小组进行审核，形成考评指标执行数据。</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预算执行</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将月报数据报送财政；完成《预算执行收支分析》；《全镇预算执行情况通报》。按照时间节点完成得满分，每延误1项扣时间分值。</w:t>
            </w:r>
          </w:p>
        </w:tc>
        <w:tc>
          <w:tcPr>
            <w:tcW w:w="331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完成《预算执行收支分析》《全镇预算执行情况通报》。</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审核评价。被考评单位按照序时进度或时间节点要求，通过月小结上传上报的旬月报数据、《预算执行收支分析月报》、《全镇预算执行情况通报》等资料，考评小组进行审核，形成考评指标执行数据。</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财政决算编审</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做好全镇总决算和部门决算编报工作。</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审核评价。被考评单位按照序时进度或时间节点要求，通过月小结上传财政厅决算会审通知、总决算、部门决算、决算报表及公开信息、统计资料等资料，考评小组审核，形成考评指标执行数据。</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财政决算</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财政总决算、部门决算报表和分析报告经局领导审签正式上报，得满分；每有1项未完成，扣质量分值。</w:t>
            </w:r>
          </w:p>
        </w:tc>
        <w:tc>
          <w:tcPr>
            <w:tcW w:w="331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被考评单位按照序时进度或时间节点要求，考评小组审核，形成考评指标执行数据。</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审核评价。被考评单位按照序时进度或时间节点要求，通过月小结上传财政厅决算会审通知、总决算、部门决算、决算报表及公开信息、统计资料等资料，考评小组审核，形成考评指标执行数据。</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电子政务管理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政务信息服务工作和政府系统机关电子政务工作。</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确保各类会议顺利进行；保障街道网络系统安全、稳定运行，技术设备安全可用。严格执行会议技术保障服务流程和电视电话会议室管理制度。切实提高技术保障和服务能力，力争领导满意、群众满意、部门满意。</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政府电子政务管理与服务</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政务信息服务工作和政府系统机关电子政务工作。</w:t>
            </w:r>
          </w:p>
        </w:tc>
        <w:tc>
          <w:tcPr>
            <w:tcW w:w="331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确保各类会议顺利进行；保障街道网络系统安全、稳定运行，技术设备安全可用</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反映街道视频会议、电视电话会议、全街道电子政务系统的使用管理与运维情况</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地方志事务</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全街道地方志事务管理。</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弘扬和传承优秀文化传统，充分发挥志书“资政、存史、教化”的综合功能，为社会各界方便快捷提供县情，为本县经济社会建设服务，为地方志工作者提供资料和工具。</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地方志事务管理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拟订全街道地方志工作规划并组织实施；搜集、保存、管理地方文献和资料；组织开发利用地方志资源；建设和维护街道地方志县情网络。</w:t>
            </w:r>
          </w:p>
        </w:tc>
        <w:tc>
          <w:tcPr>
            <w:tcW w:w="331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为社会各界方便快捷提供街道情，为经济社会建设服务</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反映全街道各志编制出现差错情况</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街道政务管理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按照有关要求，做好机关办公区房屋与附属设施的维修、维护工作；做好机关办公区绿化、美化工作；做好后勤保障和老干部管理服务工作。</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以服务领导和机关保障有力为目标，增强了优质后勤管理水平，通过加强公车管理，降低运行成本，为创建节约型机关打下了良好的基础。采取保障街道领导和机关工作办公环境的措施，提升了服务管理水平，保障了街道和机关工作的正常运转。及时了解国内外形势、党和国家的方针政策以及街道办公室的重要部署和要求，及时为老干部提供优质高效服务。</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综合业务管理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协助街道领导组织起草或审核上报区政府以及以街道办公室名义发布的公文；办理街道各部门和下级政府报送的文电；对街道部门间出现的争议问题提出处理意见；组织起草街道领导重要讲话及其他重要文稿；组织专题调研；承办街道领导交办的其他事项。</w:t>
            </w:r>
          </w:p>
        </w:tc>
        <w:tc>
          <w:tcPr>
            <w:tcW w:w="331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高质量审核公文，让县领导满意；及时办理各类文电，确保事项在第一时间得到街道批示意见；高质量起草的街道重要讲话及重要文稿。</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反映各项综合业务工作完成情况</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bl>
    <w:p>
      <w:pPr>
        <w:widowControl/>
        <w:spacing w:line="360" w:lineRule="atLeast"/>
        <w:jc w:val="left"/>
        <w:rPr>
          <w:rFonts w:hint="eastAsia" w:ascii="仿宋_GB2312" w:eastAsia="仿宋_GB2312" w:cs="宋体"/>
          <w:color w:val="000000"/>
          <w:kern w:val="0"/>
          <w:sz w:val="32"/>
          <w:szCs w:val="32"/>
        </w:rPr>
      </w:pPr>
      <w:r>
        <w:rPr>
          <w:rFonts w:hint="eastAsia" w:ascii="黑体" w:eastAsia="黑体" w:cs="宋体"/>
          <w:b/>
          <w:bCs/>
          <w:color w:val="000000"/>
          <w:kern w:val="0"/>
          <w:sz w:val="32"/>
          <w:szCs w:val="32"/>
        </w:rPr>
        <w:t>六、政府采购预算情况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2017年，我部门未安排政府采购预算。</w:t>
      </w:r>
    </w:p>
    <w:p>
      <w:pPr>
        <w:widowControl/>
        <w:spacing w:line="360" w:lineRule="atLeast"/>
        <w:jc w:val="left"/>
        <w:rPr>
          <w:rFonts w:hint="eastAsia" w:ascii="仿宋_GB2312" w:eastAsia="仿宋_GB2312" w:cs="宋体"/>
          <w:color w:val="000000"/>
          <w:kern w:val="0"/>
          <w:sz w:val="32"/>
          <w:szCs w:val="32"/>
        </w:rPr>
      </w:pPr>
    </w:p>
    <w:p>
      <w:pPr>
        <w:widowControl/>
        <w:spacing w:line="360" w:lineRule="atLeast"/>
        <w:jc w:val="left"/>
        <w:rPr>
          <w:rFonts w:hint="eastAsia" w:ascii="仿宋_GB2312" w:eastAsia="仿宋_GB2312" w:cs="宋体"/>
          <w:color w:val="000000"/>
          <w:kern w:val="0"/>
          <w:sz w:val="32"/>
          <w:szCs w:val="32"/>
        </w:rPr>
      </w:pPr>
    </w:p>
    <w:p>
      <w:pPr>
        <w:widowControl/>
        <w:spacing w:line="360" w:lineRule="atLeast"/>
        <w:jc w:val="left"/>
        <w:rPr>
          <w:rFonts w:hint="eastAsia" w:ascii="仿宋_GB2312" w:eastAsia="仿宋_GB2312" w:cs="宋体"/>
          <w:color w:val="000000"/>
          <w:kern w:val="0"/>
          <w:sz w:val="32"/>
          <w:szCs w:val="32"/>
        </w:rPr>
      </w:pPr>
    </w:p>
    <w:p>
      <w:pPr>
        <w:widowControl/>
        <w:spacing w:line="360" w:lineRule="atLeast"/>
        <w:jc w:val="left"/>
        <w:rPr>
          <w:rFonts w:hint="eastAsia" w:ascii="仿宋_GB2312" w:eastAsia="仿宋_GB2312" w:cs="宋体"/>
          <w:color w:val="000000"/>
          <w:kern w:val="0"/>
          <w:sz w:val="32"/>
          <w:szCs w:val="32"/>
        </w:rPr>
      </w:pPr>
    </w:p>
    <w:p>
      <w:pPr>
        <w:widowControl/>
        <w:spacing w:line="360" w:lineRule="atLeast"/>
        <w:jc w:val="center"/>
        <w:rPr>
          <w:rFonts w:ascii="仿宋_GB2312" w:eastAsia="仿宋_GB2312" w:cs="宋体"/>
          <w:color w:val="000000"/>
          <w:kern w:val="0"/>
          <w:sz w:val="32"/>
          <w:szCs w:val="32"/>
        </w:rPr>
      </w:pPr>
      <w:r>
        <w:rPr>
          <w:rFonts w:hint="eastAsia" w:ascii="仿宋_GB2312" w:eastAsia="仿宋_GB2312" w:cs="Times New Roman"/>
          <w:sz w:val="28"/>
          <w:szCs w:val="28"/>
        </w:rPr>
        <w:t>部门政府采购预算</w:t>
      </w:r>
    </w:p>
    <w:tbl>
      <w:tblPr>
        <w:tblStyle w:val="4"/>
        <w:tblW w:w="511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70"/>
        <w:gridCol w:w="1013"/>
        <w:gridCol w:w="834"/>
        <w:gridCol w:w="1327"/>
        <w:gridCol w:w="834"/>
        <w:gridCol w:w="834"/>
        <w:gridCol w:w="856"/>
        <w:gridCol w:w="853"/>
        <w:gridCol w:w="853"/>
        <w:gridCol w:w="853"/>
        <w:gridCol w:w="776"/>
        <w:gridCol w:w="837"/>
        <w:gridCol w:w="837"/>
        <w:gridCol w:w="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cs="Times New Roman"/>
                <w:sz w:val="28"/>
                <w:szCs w:val="28"/>
              </w:rPr>
            </w:pPr>
            <w:r>
              <w:rPr>
                <w:rFonts w:hint="eastAsia" w:ascii="仿宋_GB2312" w:eastAsia="仿宋_GB2312" w:cs="宋体"/>
                <w:color w:val="000000"/>
                <w:kern w:val="0"/>
                <w:sz w:val="28"/>
                <w:szCs w:val="28"/>
              </w:rPr>
              <w:t>廊坊市广阳区万庄镇人民政府</w:t>
            </w:r>
          </w:p>
        </w:tc>
        <w:tc>
          <w:tcPr>
            <w:tcW w:w="210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3" w:type="pct"/>
            <w:gridSpan w:val="2"/>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482"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311"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2105" w:type="pct"/>
            <w:gridSpan w:val="7"/>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368"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1" w:type="pct"/>
            <w:vMerge w:val="continue"/>
            <w:shd w:val="clear" w:color="auto" w:fill="auto"/>
            <w:vAlign w:val="center"/>
          </w:tcP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1510" w:type="pct"/>
            <w:gridSpan w:val="5"/>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285"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shd w:val="clear" w:color="auto" w:fill="auto"/>
            <w:vAlign w:val="center"/>
          </w:tcPr>
          <w:p/>
        </w:tc>
        <w:tc>
          <w:tcPr>
            <w:tcW w:w="368" w:type="pct"/>
            <w:vMerge w:val="continue"/>
            <w:shd w:val="clear" w:color="auto" w:fill="auto"/>
            <w:vAlign w:val="center"/>
          </w:tcP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1" w:type="pct"/>
            <w:vMerge w:val="continue"/>
            <w:shd w:val="clear" w:color="auto" w:fill="auto"/>
            <w:vAlign w:val="center"/>
          </w:tcPr>
          <w:p/>
        </w:tc>
        <w:tc>
          <w:tcPr>
            <w:tcW w:w="310" w:type="pct"/>
            <w:vMerge w:val="continue"/>
            <w:shd w:val="clear" w:color="auto" w:fill="auto"/>
            <w:vAlign w:val="center"/>
          </w:tcP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282"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285"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368"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482"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11"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282"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285" w:type="pct"/>
            <w:shd w:val="clear" w:color="auto" w:fill="auto"/>
            <w:vAlign w:val="center"/>
          </w:tcPr>
          <w:p>
            <w:pPr>
              <w:spacing w:line="30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p>
        </w:tc>
        <w:tc>
          <w:tcPr>
            <w:tcW w:w="368"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482"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11"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282"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285" w:type="pct"/>
            <w:shd w:val="clear" w:color="auto" w:fill="auto"/>
            <w:vAlign w:val="center"/>
          </w:tcPr>
          <w:p>
            <w:pPr>
              <w:spacing w:line="30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sz w:val="28"/>
                <w:szCs w:val="28"/>
              </w:rPr>
            </w:pPr>
          </w:p>
        </w:tc>
        <w:tc>
          <w:tcPr>
            <w:tcW w:w="368"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482"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11"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282"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285" w:type="pct"/>
            <w:shd w:val="clear" w:color="auto" w:fill="auto"/>
            <w:vAlign w:val="center"/>
          </w:tcPr>
          <w:p>
            <w:pPr>
              <w:spacing w:line="300" w:lineRule="exact"/>
              <w:jc w:val="center"/>
              <w:rPr>
                <w:rFonts w:ascii="仿宋_GB2312" w:eastAsia="仿宋_GB2312" w:cs="Times New Roman"/>
                <w:sz w:val="28"/>
                <w:szCs w:val="28"/>
              </w:rPr>
            </w:pPr>
          </w:p>
        </w:tc>
      </w:tr>
    </w:tbl>
    <w:p>
      <w:pPr>
        <w:widowControl/>
        <w:spacing w:line="360" w:lineRule="atLeast"/>
        <w:rPr>
          <w:rFonts w:ascii="仿宋_GB2312" w:eastAsia="仿宋_GB2312" w:cs="宋体"/>
          <w:color w:val="000000"/>
          <w:kern w:val="0"/>
          <w:sz w:val="32"/>
          <w:szCs w:val="32"/>
        </w:rPr>
      </w:pPr>
      <w:r>
        <w:rPr>
          <w:rFonts w:ascii="黑体" w:eastAsia="黑体" w:cs="宋体"/>
          <w:b/>
          <w:bCs/>
          <w:color w:val="000000"/>
          <w:kern w:val="0"/>
          <w:sz w:val="32"/>
          <w:szCs w:val="32"/>
        </w:rPr>
        <w:br w:type="page"/>
      </w:r>
      <w:r>
        <w:rPr>
          <w:rFonts w:hint="eastAsia" w:ascii="黑体" w:eastAsia="黑体" w:cs="宋体"/>
          <w:b/>
          <w:bCs/>
          <w:color w:val="000000"/>
          <w:kern w:val="0"/>
          <w:sz w:val="32"/>
          <w:szCs w:val="32"/>
        </w:rPr>
        <w:t>七、国有资产信息</w:t>
      </w:r>
      <w:r>
        <w:rPr>
          <w:rFonts w:hint="eastAsia" w:ascii="黑体" w:eastAsia="黑体" w:cs="宋体"/>
          <w:color w:val="000000"/>
          <w:kern w:val="0"/>
          <w:sz w:val="32"/>
          <w:szCs w:val="32"/>
        </w:rPr>
        <w:br w:type="textWrapping"/>
      </w:r>
      <w:r>
        <w:rPr>
          <w:rFonts w:hint="eastAsia" w:ascii="仿宋_GB2312" w:eastAsia="仿宋_GB2312" w:cs="宋体"/>
          <w:color w:val="000000"/>
          <w:kern w:val="0"/>
          <w:sz w:val="32"/>
          <w:szCs w:val="32"/>
        </w:rPr>
        <w:t>我部门（含所属单位）上年末固定资产金额为1061.33万元，我部门本年度无拟购置固定资产，</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详见下表。</w:t>
      </w:r>
    </w:p>
    <w:tbl>
      <w:tblPr>
        <w:tblStyle w:val="4"/>
        <w:tblW w:w="10773" w:type="dxa"/>
        <w:tblCellSpacing w:w="0" w:type="dxa"/>
        <w:tblInd w:w="0" w:type="dxa"/>
        <w:tblLayout w:type="autofit"/>
        <w:tblCellMar>
          <w:top w:w="0" w:type="dxa"/>
          <w:left w:w="0" w:type="dxa"/>
          <w:bottom w:w="0" w:type="dxa"/>
          <w:right w:w="0" w:type="dxa"/>
        </w:tblCellMar>
      </w:tblPr>
      <w:tblGrid>
        <w:gridCol w:w="4045"/>
        <w:gridCol w:w="2605"/>
        <w:gridCol w:w="4183"/>
      </w:tblGrid>
      <w:tr>
        <w:tblPrEx>
          <w:tblCellMar>
            <w:top w:w="0" w:type="dxa"/>
            <w:left w:w="0" w:type="dxa"/>
            <w:bottom w:w="0" w:type="dxa"/>
            <w:right w:w="0" w:type="dxa"/>
          </w:tblCellMar>
        </w:tblPrEx>
        <w:trPr>
          <w:trHeight w:val="705" w:hRule="atLeast"/>
          <w:tblCellSpacing w:w="0" w:type="dxa"/>
        </w:trPr>
        <w:tc>
          <w:tcPr>
            <w:tcW w:w="10773" w:type="dxa"/>
            <w:gridSpan w:val="3"/>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CellMar>
            <w:top w:w="0" w:type="dxa"/>
            <w:left w:w="0" w:type="dxa"/>
            <w:bottom w:w="0" w:type="dxa"/>
            <w:right w:w="0" w:type="dxa"/>
          </w:tblCellMar>
        </w:tblPrEx>
        <w:trPr>
          <w:trHeight w:val="510" w:hRule="atLeast"/>
          <w:tblCellSpacing w:w="0" w:type="dxa"/>
        </w:trPr>
        <w:tc>
          <w:tcPr>
            <w:tcW w:w="6610" w:type="dxa"/>
            <w:gridSpan w:val="2"/>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编制部门：</w:t>
            </w:r>
            <w:r>
              <w:rPr>
                <w:rFonts w:hint="eastAsia" w:ascii="仿宋_GB2312" w:eastAsia="仿宋_GB2312" w:cs="宋体"/>
                <w:b/>
                <w:bCs/>
                <w:kern w:val="0"/>
                <w:sz w:val="28"/>
                <w:szCs w:val="28"/>
              </w:rPr>
              <w:t>廊坊市广阳区万庄镇人民政府</w:t>
            </w:r>
          </w:p>
        </w:tc>
        <w:tc>
          <w:tcPr>
            <w:tcW w:w="4163" w:type="dxa"/>
            <w:noWrap/>
            <w:vAlign w:val="center"/>
          </w:tcPr>
          <w:p>
            <w:pPr>
              <w:widowControl/>
              <w:jc w:val="center"/>
              <w:rPr>
                <w:rFonts w:ascii="宋体" w:hAnsi="宋体" w:eastAsia="仿宋_GB2312" w:cs="宋体"/>
                <w:kern w:val="0"/>
                <w:sz w:val="28"/>
                <w:szCs w:val="28"/>
              </w:rPr>
            </w:pPr>
            <w:r>
              <w:rPr>
                <w:rFonts w:hint="eastAsia" w:ascii="仿宋_GB2312" w:eastAsia="仿宋_GB2312" w:cs="宋体"/>
                <w:kern w:val="0"/>
                <w:sz w:val="28"/>
                <w:szCs w:val="28"/>
              </w:rPr>
              <w:t>截止时间：2016年12月31日</w:t>
            </w:r>
            <w:r>
              <w:rPr>
                <w:rFonts w:ascii="宋体" w:hAnsi="宋体" w:eastAsia="仿宋_GB2312" w:cs="宋体"/>
                <w:kern w:val="0"/>
                <w:sz w:val="28"/>
                <w:szCs w:val="28"/>
              </w:rPr>
              <w:t> </w:t>
            </w:r>
          </w:p>
        </w:tc>
      </w:tr>
      <w:tr>
        <w:tblPrEx>
          <w:tblCellMar>
            <w:top w:w="0" w:type="dxa"/>
            <w:left w:w="0" w:type="dxa"/>
            <w:bottom w:w="0" w:type="dxa"/>
            <w:right w:w="0" w:type="dxa"/>
          </w:tblCellMar>
        </w:tblPrEx>
        <w:trPr>
          <w:trHeight w:val="645" w:hRule="atLeast"/>
          <w:tblCellSpacing w:w="0" w:type="dxa"/>
        </w:trPr>
        <w:tc>
          <w:tcPr>
            <w:tcW w:w="4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w:t>
            </w:r>
            <w:r>
              <w:rPr>
                <w:rFonts w:hint="eastAsia" w:ascii="仿宋_GB2312" w:eastAsia="仿宋_GB2312" w:cs="宋体"/>
                <w:b/>
                <w:bCs/>
                <w:kern w:val="0"/>
                <w:sz w:val="28"/>
                <w:szCs w:val="28"/>
              </w:rPr>
              <w:t>目</w:t>
            </w:r>
          </w:p>
        </w:tc>
        <w:tc>
          <w:tcPr>
            <w:tcW w:w="25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41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CellMar>
            <w:top w:w="0" w:type="dxa"/>
            <w:left w:w="0" w:type="dxa"/>
            <w:bottom w:w="0" w:type="dxa"/>
            <w:right w:w="0" w:type="dxa"/>
          </w:tblCellMar>
        </w:tblPrEx>
        <w:trPr>
          <w:trHeight w:val="645" w:hRule="atLeast"/>
          <w:tblCellSpacing w:w="0" w:type="dxa"/>
        </w:trPr>
        <w:tc>
          <w:tcPr>
            <w:tcW w:w="4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5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w:t>
            </w:r>
          </w:p>
        </w:tc>
        <w:tc>
          <w:tcPr>
            <w:tcW w:w="41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1061.33</w:t>
            </w:r>
          </w:p>
        </w:tc>
      </w:tr>
      <w:tr>
        <w:tblPrEx>
          <w:tblCellMar>
            <w:top w:w="0" w:type="dxa"/>
            <w:left w:w="0" w:type="dxa"/>
            <w:bottom w:w="0" w:type="dxa"/>
            <w:right w:w="0" w:type="dxa"/>
          </w:tblCellMar>
        </w:tblPrEx>
        <w:trPr>
          <w:trHeight w:val="645" w:hRule="atLeast"/>
          <w:tblCellSpacing w:w="0" w:type="dxa"/>
        </w:trPr>
        <w:tc>
          <w:tcPr>
            <w:tcW w:w="4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1、房屋（平方米）</w:t>
            </w:r>
          </w:p>
        </w:tc>
        <w:tc>
          <w:tcPr>
            <w:tcW w:w="25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15034</w:t>
            </w:r>
          </w:p>
        </w:tc>
        <w:tc>
          <w:tcPr>
            <w:tcW w:w="41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715.68</w:t>
            </w:r>
          </w:p>
        </w:tc>
      </w:tr>
      <w:tr>
        <w:tblPrEx>
          <w:tblCellMar>
            <w:top w:w="0" w:type="dxa"/>
            <w:left w:w="0" w:type="dxa"/>
            <w:bottom w:w="0" w:type="dxa"/>
            <w:right w:w="0" w:type="dxa"/>
          </w:tblCellMar>
        </w:tblPrEx>
        <w:trPr>
          <w:trHeight w:val="645" w:hRule="atLeast"/>
          <w:tblCellSpacing w:w="0" w:type="dxa"/>
        </w:trPr>
        <w:tc>
          <w:tcPr>
            <w:tcW w:w="4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kern w:val="0"/>
                <w:sz w:val="28"/>
                <w:szCs w:val="28"/>
              </w:rPr>
              <w:t>其中：办公用房（平方米）</w:t>
            </w:r>
          </w:p>
        </w:tc>
        <w:tc>
          <w:tcPr>
            <w:tcW w:w="25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15034</w:t>
            </w:r>
          </w:p>
        </w:tc>
        <w:tc>
          <w:tcPr>
            <w:tcW w:w="41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715.68</w:t>
            </w:r>
          </w:p>
        </w:tc>
      </w:tr>
      <w:tr>
        <w:tblPrEx>
          <w:tblCellMar>
            <w:top w:w="0" w:type="dxa"/>
            <w:left w:w="0" w:type="dxa"/>
            <w:bottom w:w="0" w:type="dxa"/>
            <w:right w:w="0" w:type="dxa"/>
          </w:tblCellMar>
        </w:tblPrEx>
        <w:trPr>
          <w:trHeight w:val="645" w:hRule="atLeast"/>
          <w:tblCellSpacing w:w="0" w:type="dxa"/>
        </w:trPr>
        <w:tc>
          <w:tcPr>
            <w:tcW w:w="4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2、车辆（台、辆）</w:t>
            </w:r>
          </w:p>
        </w:tc>
        <w:tc>
          <w:tcPr>
            <w:tcW w:w="25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13</w:t>
            </w:r>
          </w:p>
        </w:tc>
        <w:tc>
          <w:tcPr>
            <w:tcW w:w="41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178.27</w:t>
            </w:r>
          </w:p>
        </w:tc>
      </w:tr>
      <w:tr>
        <w:tblPrEx>
          <w:tblCellMar>
            <w:top w:w="0" w:type="dxa"/>
            <w:left w:w="0" w:type="dxa"/>
            <w:bottom w:w="0" w:type="dxa"/>
            <w:right w:w="0" w:type="dxa"/>
          </w:tblCellMar>
        </w:tblPrEx>
        <w:trPr>
          <w:trHeight w:val="645" w:hRule="atLeast"/>
          <w:tblCellSpacing w:w="0" w:type="dxa"/>
        </w:trPr>
        <w:tc>
          <w:tcPr>
            <w:tcW w:w="4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3、单价在50万元以上的设备</w:t>
            </w:r>
          </w:p>
        </w:tc>
        <w:tc>
          <w:tcPr>
            <w:tcW w:w="25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c>
          <w:tcPr>
            <w:tcW w:w="41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trPr>
        <w:tc>
          <w:tcPr>
            <w:tcW w:w="4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4、其他固定资产</w:t>
            </w:r>
          </w:p>
        </w:tc>
        <w:tc>
          <w:tcPr>
            <w:tcW w:w="25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仿宋_GB2312" w:cs="宋体"/>
                <w:kern w:val="0"/>
                <w:sz w:val="32"/>
                <w:szCs w:val="32"/>
              </w:rPr>
            </w:pPr>
            <w:r>
              <w:rPr>
                <w:rFonts w:ascii="宋体" w:hAnsi="宋体" w:eastAsia="仿宋_GB2312" w:cs="宋体"/>
                <w:kern w:val="0"/>
                <w:sz w:val="32"/>
                <w:szCs w:val="32"/>
              </w:rPr>
              <w:t> </w:t>
            </w:r>
          </w:p>
        </w:tc>
        <w:tc>
          <w:tcPr>
            <w:tcW w:w="41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167.38</w:t>
            </w:r>
          </w:p>
        </w:tc>
      </w:tr>
    </w:tbl>
    <w:p>
      <w:pPr>
        <w:pStyle w:val="7"/>
        <w:ind w:left="643" w:hanging="643" w:hangingChars="200"/>
        <w:rPr>
          <w:rFonts w:ascii="仿宋_GB2312" w:eastAsia="仿宋_GB2312"/>
          <w:b/>
          <w:bCs/>
          <w:sz w:val="32"/>
          <w:szCs w:val="32"/>
        </w:rPr>
      </w:pPr>
      <w:r>
        <w:rPr>
          <w:rFonts w:hint="eastAsia" w:ascii="黑体" w:eastAsia="黑体" w:cs="宋体"/>
          <w:b/>
          <w:bCs/>
          <w:sz w:val="32"/>
          <w:szCs w:val="32"/>
        </w:rPr>
        <w:t>八、名词解释</w:t>
      </w:r>
      <w:r>
        <w:rPr>
          <w:rFonts w:hint="eastAsia" w:ascii="黑体" w:eastAsia="黑体" w:cs="宋体"/>
          <w:sz w:val="32"/>
          <w:szCs w:val="32"/>
        </w:rPr>
        <w:br w:type="textWrapping"/>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九、其它需要说明的事项</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无其它需要说明的事项。</w:t>
      </w:r>
    </w:p>
    <w:p>
      <w:pPr>
        <w:rPr>
          <w:rFonts w:ascii="仿宋_GB2312"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DF5BFE"/>
    <w:rsid w:val="000F7DD3"/>
    <w:rsid w:val="00C4095E"/>
    <w:rsid w:val="00DF5BFE"/>
    <w:rsid w:val="21325068"/>
    <w:rsid w:val="3B9C3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uiPriority w:val="0"/>
    <w:rPr>
      <w:b/>
      <w:bCs/>
    </w:rPr>
  </w:style>
  <w:style w:type="paragraph" w:customStyle="1" w:styleId="7">
    <w:name w:val="Default"/>
    <w:next w:val="3"/>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170</Pages>
  <Words>2665</Words>
  <Characters>15196</Characters>
  <Lines>126</Lines>
  <Paragraphs>35</Paragraphs>
  <TotalTime>11</TotalTime>
  <ScaleCrop>false</ScaleCrop>
  <LinksUpToDate>false</LinksUpToDate>
  <CharactersWithSpaces>17826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2017-10-27T09:57:00Z</dcterms:created>
  <dc:creator>lenovo</dc:creator>
  <cp:lastModifiedBy>111</cp:lastModifiedBy>
  <dcterms:modified xsi:type="dcterms:W3CDTF">2024-05-16T03:04:04Z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DFA2B7CA84984A7481E0A65FC160B098</vt:lpwstr>
  </property>
</Properties>
</file>