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廊坊市广阳区农业局2017年部门预算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r>
        <w:rPr>
          <w:rFonts w:hint="eastAsia" w:ascii="方正小标宋简体" w:eastAsia="方正小标宋简体" w:cs="宋体"/>
          <w:color w:val="000000"/>
          <w:kern w:val="0"/>
          <w:sz w:val="44"/>
          <w:szCs w:val="44"/>
        </w:rPr>
        <w:t> </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廊坊市广阳区农业局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r>
        <w:rPr>
          <w:rFonts w:hint="eastAsia" w:ascii="仿宋_GB2312" w:eastAsia="仿宋_GB2312" w:cs="宋体"/>
          <w:b/>
          <w:bCs/>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color w:val="000000"/>
          <w:kern w:val="0"/>
          <w:sz w:val="32"/>
          <w:szCs w:val="32"/>
        </w:rPr>
        <w:t>（一）研究拟定农业和农村经济发展战略、中长期发展规划，经批准后组织实施。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（二）负责国家和省、市政府有关农业、农机、农垦各项方针、政策、法律、法规的贯彻执行和监督检查。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（三）编制农业主管产业的发展规划、计划，经批准后组织实施。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（四）负责全区农业机械管理，制订农业机械使用监督检验标准并监督执行，负责农业机械的引进、试验、示范、推广工作。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（五）负责农村农民经济组织的建设与发展。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（六）主管全区植物检疫、病虫害防治工作。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（七）负责研究，制定全区农业产业化经营方针政策，组织协调“菜篮子工程”建设。预测并发布农业各产业产品及农业生产资料供求情况和农村经济信息。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（八）研究制定本系统科技、科研、教育、技术推广的规划、措施，组织重大科研课题的技术攻关、科研成果的鉴定和推广，负责并协同有关部门管理农业、农机的农民技术人员职称评定与晋升工作。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（九）负责全区种子监督检疫、优良品种引进、试验、示范、推广工作。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（十）负责本系统劳动工资及科技人员的宏观管理；负责局机关及直属事业单位干部职工的劳动人事管理；管理区级农业、农机基金，监督管理本系统各项专项资金。</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（十一）负责机关及直属事业单位的老干部工作；党群工作；纪检（监察）工作。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（十二）承办区委、区政府及市农业局交办的其他事项。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部门机构设置情况</w:t>
      </w:r>
    </w:p>
    <w:tbl>
      <w:tblPr>
        <w:tblStyle w:val="4"/>
        <w:tblW w:w="95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3"/>
        <w:gridCol w:w="1285"/>
        <w:gridCol w:w="1272"/>
        <w:gridCol w:w="26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廊坊市广阳区农业局</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2017年预算收入1128.71万元，其中：一般公共预算收入1128.71万元，政府性基金收入0万元。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2017年支出预算1128.71万元，其中基本支出940.71万元，包括人员经费和日常公用经费，项目支出188万元，主要为中央农村土地承包经营权确权登记证颁证专项资金和农机购置补贴专项资金。</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2017年预算收支安排。1128.71万元，较2016年预算减少252.18万元，其中：基本支出增加330.82万元，主要为增加人员经费支出；项目支出减少583万元，主要为财力紧张预算未安排。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2017年预算安排我部门机关运行经费17.6万元，其中办公经费3.01万元，其他业务费14.59万元。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粮食和蔬菜生产工作。粮食作物播种面积20.596万亩，总产量6.51万吨，粮食作物以小麦和玉米为主，其它杂粮作物有零星种植，其中小麦播种面积6.35万亩，产量2.35万吨，玉米播种11万亩，产量3.685万吨。全年蔬菜播种面积16.62万亩，其中设施蔬菜播种10.2万亩，蔬菜总产量69.14万吨，蔬菜总产值9.39亿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现代农业园区建设工作。制定并通过区政府印发了全区现代农业园区工作实施意见，确定到2017年底，建成1个省级现代农业园区、2个市级现代农业园区、4个县级现代农业园区和一批高标准设施农业园、一批龙头企业带动的规模基地、一批新型经营农场的任务目标。按照省市有关农业园区的申报标准，为长征现代农业创意产业园申报了市级、省级现代农业园区。完成了润宝现代农业产业园和庄络现代农业产业园的区级园区评审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煤改电和清洁型煤推广。按照市里关于煤改电清洁能源替代散烧煤工作的有关要求，区大气办下达我局煤改电试点150户，通过实地考察调研，确定了我区的推广形式，制定并以区政府名义下发了《广阳区2016年煤改电示范推广项目实施方案》，严格执行公开招投标采购手续，严把工程质量关，圆满完成了推广任务。按照区政府关于做好洁净型煤推广的有关工作要求，制定了型煤推广方案，加大工作力度，截至目前累计推广型煤4100余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4、基层农技推广补助项目。落实项目资金81万元，确定科技示范户215名，指导员22名，建立科技示范基地2个。向科技示范户发放有机肥34.4吨，复合肥</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17.2吨，玉米专用除草剂860盒。向基地发放复合肥32吨，玉米种子400袋。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5、农产品综合质检站建设。总投资300万元，购置相关农产品检验检测设备70台（套），实验室改建面积580平方米，目前已基本具备了运行条件。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6、农机具购置补贴工作。2016年我区争取到农机具购置补贴资金配额100万元，</w:t>
      </w:r>
      <w:r>
        <w:rPr>
          <w:rFonts w:hint="eastAsia" w:ascii="仿宋_GB2312" w:eastAsia="仿宋_GB2312" w:cs="宋体"/>
          <w:color w:val="000000"/>
          <w:kern w:val="0"/>
          <w:sz w:val="32"/>
          <w:szCs w:val="32"/>
          <w:lang w:eastAsia="zh-CN"/>
        </w:rPr>
        <w:t>截至</w:t>
      </w:r>
      <w:r>
        <w:rPr>
          <w:rFonts w:hint="eastAsia" w:ascii="仿宋_GB2312" w:eastAsia="仿宋_GB2312" w:cs="宋体"/>
          <w:color w:val="000000"/>
          <w:kern w:val="0"/>
          <w:sz w:val="32"/>
          <w:szCs w:val="32"/>
        </w:rPr>
        <w:t>10月底，完成了全部资金的录入和结算工作，共签订指标确认书94份，受益农户69户，补贴各类机具103台，其中大中型拖拉机50台，旋耕机24台，玉米联合收割机4台，微耕机18台，秸秆还田机4台，小麦收割机1台，喷雾机1台，果蔬烘干机1台。</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7、小麦 “一喷三防”工作。向农户发放市级统一招标采购的吡虫啉、丙环唑和磷酸二氢钾实物22.056吨，对小麦稳产增产发挥了保障作用。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农村集体“三资”管理。一是规范村街大额支出报账程序，确保大额支出得到有效监管，审核乡镇、办事处上报的村街30万元以上大额开支手续60笔；二是规范乡镇、办事处集体资产资源和工程建设项目管理，对检查中发现的不符合要求的事项，督促完善手续，确保规范运作。截至目前，共审核资产资源招标项目材料5份，工程建设项目材料6份；三是做好土地流转合同备案管理，备案流转规模50亩以上和单笔年度使用费3万元以上的流转合同15份；四是开展农村集体经济组织股份制改革试点工作的有关要求，确定南尖塔镇董村作为我区农村集体经济组织股份合作制改革试点村，南甸村为我区农村集体经济发展示范村。</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9、农村土地确权工作。按照上级要求，今年全区土地确权任务为16.38万亩，</w:t>
      </w:r>
      <w:r>
        <w:rPr>
          <w:rFonts w:hint="eastAsia" w:ascii="仿宋_GB2312" w:eastAsia="仿宋_GB2312" w:cs="宋体"/>
          <w:color w:val="000000"/>
          <w:kern w:val="0"/>
          <w:sz w:val="32"/>
          <w:szCs w:val="32"/>
          <w:lang w:eastAsia="zh-CN"/>
        </w:rPr>
        <w:t>截至目前</w:t>
      </w:r>
      <w:r>
        <w:rPr>
          <w:rFonts w:hint="eastAsia" w:ascii="仿宋_GB2312" w:eastAsia="仿宋_GB2312" w:cs="宋体"/>
          <w:color w:val="000000"/>
          <w:kern w:val="0"/>
          <w:sz w:val="32"/>
          <w:szCs w:val="32"/>
        </w:rPr>
        <w:t>，全区已开展确权登记村街74个，其中9个村街正在进行合同档案整理，9个村街正在进行外业调查，56个村街完成二次公示，二次公示无异议面积8.94万亩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农业综合执法和农产品质量安全工作。加大农业综合执法力度，强化农产品质量安全监管。共出动执法车辆44次，执法人员176人次，检查农资市场54次，检查经营门店246店次，签订种子、农药、肥料责任状120份，发放《国家禁限用农药名录》42张。切实加大蔬菜产品抽检力度，全年抽检样本700余个，检测覆盖率100%,合格率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粮食和蔬菜生产工作。粮食作物播种面积20.596万亩，总产量6.51万吨，粮食作物以小麦和玉米为主，其它杂粮作物有零星种植，其中小麦播种面积6.35万亩，产量2.35万吨，玉米播种11万亩，产量3.685万吨。全年蔬菜播种面积16.62万亩，其中设施蔬菜播种10.2万亩，蔬菜总产量69.14万吨，蔬菜总产值9.39亿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现代农业园区建设工作。制定并通过区政府印发了全区现代农业园区工作实施意见，确定到2017年底，建成1个省级现代农业园区、2个市级现代农业园区、4个县级现代农业园区和一批高标准设施农业园、一批龙头企业带动的规模基地、一批新型经营农场的任务目标。按照省市有关农业园区的申报标准，为长征现代农业创意产业园申报了市级、省级现代农业园区。完成了润宝现代农业产业园和庄络现代农业产业园的区级园区评审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煤改电和清洁型煤推广。按照市里关于煤改电清洁能源替代散烧煤工作的有关要求，区大气办下达我局煤改电试点150户，通过实地考察调研，确定了我区的推广形式，制定并以区政府名义下发了《广阳区2016年煤改电示范推广项目实施方案》，严格执行公开招投标采购手续，严把工程质量关，圆满完成了推广任务。按照区政府关于做好洁净型煤推广的有关工作要求，制定了型煤推广方案，加大工作力度，截至目前累计推广型煤4100余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基层农技推广补助项目。落实项目资金81万元，确定科技示范户215名，指导员22名，建立科技示范基地2个。向科技示范户发放有机肥34.4吨，复合肥17.2吨，玉米专用除草剂860盒。向基地发放复合肥32吨，玉米种子400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5、农产品综合质检站建设。总投资300万元，购置相关农产品检验检测设备70台（套），实验室改建面积580平方米，目前已基本具备了运行条件。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6、农机具购置补贴工作。2016年我区争取到农机具购置补贴资金配额100万元，</w:t>
      </w:r>
      <w:r>
        <w:rPr>
          <w:rFonts w:hint="eastAsia" w:ascii="仿宋_GB2312" w:eastAsia="仿宋_GB2312" w:cs="宋体"/>
          <w:color w:val="000000"/>
          <w:kern w:val="0"/>
          <w:sz w:val="32"/>
          <w:szCs w:val="32"/>
          <w:lang w:eastAsia="zh-CN"/>
        </w:rPr>
        <w:t>截至</w:t>
      </w:r>
      <w:r>
        <w:rPr>
          <w:rFonts w:hint="eastAsia" w:ascii="仿宋_GB2312" w:eastAsia="仿宋_GB2312" w:cs="宋体"/>
          <w:color w:val="000000"/>
          <w:kern w:val="0"/>
          <w:sz w:val="32"/>
          <w:szCs w:val="32"/>
        </w:rPr>
        <w:t>10月底，完成了全部资金的录入和结算工作，共签订指标确认书94份，受益农户69户，补贴各类机具103台，其中大中型拖拉机50台，旋耕机24台，玉米联合收割机4台，微耕机18台，秸秆还田机4台，小麦收割机1台，喷雾机1台，果蔬烘干机1台。</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7、小麦 “一喷三防”工作。向农户发放市级统一招标采购的吡虫啉、丙环唑和磷酸二氢钾实物22.056吨，对小麦稳产增产发挥了保障作用。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农村集体“三资”管理。一是规范村街大额支出报账程序，确保大额支出得到有效监管，审核乡镇、办事处上报的村街30万元以上大额开支手续60笔；二是规范乡镇、办事处集体资产资源和工程建设项目管理，对检查中发现的不符合要求的事项，督促完善手续，确保规范运作。截至目前，共审核资产资源招标项目材料5份，工程建设项目材料6份；三是做好土地流转合同备案管理，备案流转规模50亩以上和单笔年度使用费3万元以上的流转合同15份；四是开展农村集体经济组织股份制改革试点工作的有关要求，确定南尖塔镇董村作为我区农村集体经济组织股份合作制改革试点村，南甸村为我区农村集体经济发展示范村。</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9、农村土地确权工作。按照上级要求，今年全区土地确权任务为16.38万亩，</w:t>
      </w:r>
      <w:r>
        <w:rPr>
          <w:rFonts w:hint="eastAsia" w:ascii="仿宋_GB2312" w:eastAsia="仿宋_GB2312" w:cs="宋体"/>
          <w:color w:val="000000"/>
          <w:kern w:val="0"/>
          <w:sz w:val="32"/>
          <w:szCs w:val="32"/>
          <w:lang w:eastAsia="zh-CN"/>
        </w:rPr>
        <w:t>截至目前</w:t>
      </w:r>
      <w:r>
        <w:rPr>
          <w:rFonts w:hint="eastAsia" w:ascii="仿宋_GB2312" w:eastAsia="仿宋_GB2312" w:cs="宋体"/>
          <w:color w:val="000000"/>
          <w:kern w:val="0"/>
          <w:sz w:val="32"/>
          <w:szCs w:val="32"/>
        </w:rPr>
        <w:t>，全区已开展确权登记村街74个，其中9个村街正在进行合同档案整理，9个村街正在进行外业调查，56个村街完成二次公示，二次公示无异议面积8.94万亩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农业综合执法和农产品质量安全工作。加大农业综合执法力度，强化农产品质量安全监管。共出动执法车辆44次，执法人员176人次，检查农资市场54次，检查经营门店246店次，签订种子、农药、肥料责任状120份，发放《国家禁限用农药名录》42张。切实加大蔬菜产品抽检力度，全年抽检样本700余个，检测覆盖率100%,合格率100%。</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35"/>
        <w:gridCol w:w="1020"/>
        <w:gridCol w:w="1890"/>
        <w:gridCol w:w="1727"/>
        <w:gridCol w:w="1089"/>
        <w:gridCol w:w="688"/>
        <w:gridCol w:w="688"/>
        <w:gridCol w:w="606"/>
        <w:gridCol w:w="6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655廊坊市广阳区农业局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完善农村经营管理体制</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98.00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推进农村集体产权制度改革，完善农村土地承包制度，引导农村土地合理流转。</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建立产权清晰权责明确的农村土地管理体系</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土地确权登记</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98.00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根据国家要求开展农村土地确权登记工作。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完成土地确权登记颁证工作剩余部分工作任务</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完成5.7万亩的土地确权登记颁证任务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植保植检站</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负责全区内病虫害预测测报，植物检疫，农业技术推广、试验示范、农药监管等工作。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开展农作物病虫害预测测报、搞好新型生物药剂的试验、示范工作。</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实施 “一喷三防”</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在全区范围内进行小麦的施药喷防。</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防止小麦病虫害的发生。</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提高小麦产量10%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扶持农产品生产</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对生产者采取直接补贴的办法，支持推广优良品种、先进适用种养技术，实施科学管理,提高农产品产量、质量，提高生产经营效益。</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提高农产品产量和产量，优化农业产业结构，提高经济效益，增加农民收入。</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农业支持保护补贴</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按照国家、省部署，对全县主要粮食作物生产实施良种补贴。</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三项补贴全部落实到位。</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绿色防控统防统治</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在全区重点小麦产区实施病虫害防治。</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提高小麦亩产，减少农药残留</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减少农药残留物</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植物疫病防控</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落实植物防疫检疫政策，建立完善植物防疫和检疫体系。组织开展动植物的防疫检疫工作，发布疫情并组织扑灭。</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发挥植物检测防疫和检疫体系作用，有效降低疫病危害。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植物疫情检测目标完成率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实施菜篮子工程</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促进“菜篮子”产品生产向规模化、园区化、设施化、标准化和产销一体化发展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突发植物疫病处理率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农村能源清洁开发利用</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在全区范围内推广碳纤维低温供暖技术。</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保质保量完成任务目标，实现能源清洁化利用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推广碳纤维低温供暖技术30户。</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在全区范围内进行新能源技术推广</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负责全区沼气池的推广与维护；推广新型清洁环保炉具,太阳能取暖房，碳纤维低温供暖技术等燃煤替代技术。</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按照区委、区政府确定的目标任务，实现节能减排，优化能源结构，让农民得实惠。</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农村能源清洁开发利用</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在全区范围内推广太阳能取暖房。</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保质保量完成任务目标，实现能源清洁化利用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推广太阳取暖房20户</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农业科技支撑和公共服务</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提高农业机械化水平，建立健全农业科技服务和防灾减灾体系，推动农业生产向现代农业发展。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促进农业现代化，提高农业劳动生产率，增加农民收入。</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实施农机购置补贴</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对农民和种植大户、农机合作组织购置农业机械进行补贴。</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提高农业机械化水平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玉米机收率达到 %</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农业政务管理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开展农业宣传，推动农业政策落实。保障农业信息网络和各项政党工作的开展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保障各项农业工作的正常运行</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农机监理综合事务管理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加强农机监理站机关事务性管理，开展机关自身能力建设。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高效保障机关日常运转</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工作任务完成率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种子管理站</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作物种子市场监管和种子纠纷案件的调解查处。2、种子质量监督检验。3、农作物新品种的试验、示范、推广。4、监管种质资源和种子进出口审核上报工作。5、农作物种子信息的收集、整理和上报。6、农作物种子项目的组织实施。</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做好种子质量的监督检验，确保农民用上“放心种”</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农作物种子鉴定、管理与推广</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开展种子质量监督抽检，负责查处无证经营、经营未经国家或河北省审定品种及跨地区经营、无证分装种子、经营假种子等违法行为。确保农民用上“放心种”。</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为农业生产提供优良新品种</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主要农作物优良品种覆盖率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政综合执法大队</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是宣传贯彻农业法律法规；2、是负责我区种子、农药、肥料的监督管理；3、是查处违反种子、农药、肥料经营行为；4、是协调解决种子、农药、肥料的纠纷，维护消费者权益。</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维护广阳区的农资市场稳定，为农民丰收保驾护航</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农业综合执法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一是宣传贯彻农业法律法规；二是负责我区种子、农药、肥料的监督管理；三是查处违反种子、农药、肥料经营行为；四是协调解决种子、农药、肥料的纠纷，维护消费者权益。</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保障农产品质量安全和农业生产安全，维护广大农民合法权益，促进农民增收和农业增效，保持农村稳定</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确保农民用上放心农资</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农产品质量安全检测站</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建设农产品质量检测站</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提高农产品质量安全水平，保障城乡居民食品安全</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农产品质量安全检测站项目</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强化对辖区内农产品质量安全监督和管理，提高农产品品质</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拟检测项目达到150项</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保障监测站运行</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完善农村经营管理体制</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推进农村集体产权制度改革，完善农村土地承包制度，引导农村土地合理流转。对全区农村集体三资管理工作进行指导、监督、培训。</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规范流转行为，加强财务审计，实现农村集体三资的规范化、制度化、经常化管理。</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促进土地流转</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建设土地流转有形市场。</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指导规模经营主体，规范流转程序，完善合同，及时上传省土地管理平台。</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土地流转提高率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农村集体财务审计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按照省市有关规定，开展农村财务审计工作。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确保农村集体资金、资产安全，维护农民利益。</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常规审计30%的乡镇，抽查审计20%的村街。</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农村集体“三资”管理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建立健全农村集体“三资”管理制度，保持三资网络监管平台的正常运转。</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确保农村集体“三资”在线核算、网上查询、实时监控。</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原始凭证上传率达到80%。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现代农业园区建设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创新农业发展方式，加快推进现代农业园区建设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转弯农业经营方式、生产方式、资源利用方式和管理方式，高起点谋划、高科技引领、高标准建设，着力构建规划布局合理、</w:t>
            </w:r>
            <w:r>
              <w:rPr>
                <w:rFonts w:hint="eastAsia" w:ascii="仿宋_GB2312" w:eastAsia="仿宋_GB2312" w:cs="宋体"/>
                <w:kern w:val="0"/>
                <w:sz w:val="28"/>
                <w:szCs w:val="28"/>
                <w:lang w:eastAsia="zh-CN"/>
              </w:rPr>
              <w:t>一二三产业融合</w:t>
            </w:r>
            <w:r>
              <w:rPr>
                <w:rFonts w:hint="eastAsia" w:ascii="仿宋_GB2312" w:eastAsia="仿宋_GB2312" w:cs="宋体"/>
                <w:kern w:val="0"/>
                <w:sz w:val="28"/>
                <w:szCs w:val="28"/>
              </w:rPr>
              <w:t>、产加销游一体、产业链条完整的现代农业园区体系</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CellSpacing w:w="0" w:type="dxa"/>
          <w:jc w:val="center"/>
        </w:trPr>
        <w:tc>
          <w:tcPr>
            <w:tcW w:w="2610" w:type="dxa"/>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　　现代农业园区建设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着力构建规划布局合理、</w:t>
            </w:r>
            <w:r>
              <w:rPr>
                <w:rFonts w:hint="eastAsia" w:ascii="仿宋_GB2312" w:eastAsia="仿宋_GB2312" w:cs="宋体"/>
                <w:kern w:val="0"/>
                <w:sz w:val="28"/>
                <w:szCs w:val="28"/>
                <w:lang w:eastAsia="zh-CN"/>
              </w:rPr>
              <w:t>一二三产业融合</w:t>
            </w:r>
            <w:r>
              <w:rPr>
                <w:rFonts w:hint="eastAsia" w:ascii="仿宋_GB2312" w:eastAsia="仿宋_GB2312" w:cs="宋体"/>
                <w:kern w:val="0"/>
                <w:sz w:val="28"/>
                <w:szCs w:val="28"/>
              </w:rPr>
              <w:t>、产加销游一体、产业链条完整的现代农业园区体系</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走出高效、产品安全、资源节约、环境友好的现代农业发展道路</w:t>
            </w:r>
          </w:p>
        </w:tc>
        <w:tc>
          <w:tcPr>
            <w:tcW w:w="1575" w:type="dxa"/>
            <w:vAlign w:val="center"/>
          </w:tcPr>
          <w:p>
            <w:pPr>
              <w:widowControl/>
              <w:jc w:val="left"/>
              <w:rPr>
                <w:rFonts w:hint="eastAsia" w:ascii="仿宋_GB2312" w:eastAsia="仿宋_GB2312" w:cs="宋体"/>
                <w:kern w:val="0"/>
                <w:sz w:val="28"/>
                <w:szCs w:val="28"/>
                <w:lang w:eastAsia="zh-CN"/>
              </w:rPr>
            </w:pPr>
            <w:r>
              <w:rPr>
                <w:rFonts w:hint="eastAsia" w:ascii="仿宋_GB2312" w:eastAsia="仿宋_GB2312" w:cs="宋体"/>
                <w:kern w:val="0"/>
                <w:sz w:val="28"/>
                <w:szCs w:val="28"/>
              </w:rPr>
              <w:t>产加销游一体，</w:t>
            </w:r>
            <w:r>
              <w:rPr>
                <w:rFonts w:hint="eastAsia" w:ascii="仿宋_GB2312" w:eastAsia="仿宋_GB2312" w:cs="宋体"/>
                <w:kern w:val="0"/>
                <w:sz w:val="28"/>
                <w:szCs w:val="28"/>
                <w:lang w:eastAsia="zh-CN"/>
              </w:rPr>
              <w:t>一二三产业融合</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宋体"/>
                <w:color w:val="000000"/>
                <w:kern w:val="0"/>
                <w:sz w:val="28"/>
                <w:szCs w:val="28"/>
              </w:rPr>
              <w:t>廊坊市广阳区农业局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32"/>
                <w:szCs w:val="32"/>
              </w:rPr>
            </w:pPr>
          </w:p>
        </w:tc>
        <w:tc>
          <w:tcPr>
            <w:tcW w:w="367" w:type="pct"/>
            <w:shd w:val="clear" w:color="auto" w:fill="auto"/>
            <w:vAlign w:val="center"/>
          </w:tcPr>
          <w:p>
            <w:pPr>
              <w:spacing w:line="300" w:lineRule="exact"/>
              <w:jc w:val="center"/>
              <w:rPr>
                <w:rFonts w:ascii="仿宋_GB2312" w:eastAsia="仿宋_GB2312" w:cs="Times New Roman"/>
                <w:sz w:val="32"/>
                <w:szCs w:val="32"/>
              </w:rPr>
            </w:pPr>
          </w:p>
        </w:tc>
        <w:tc>
          <w:tcPr>
            <w:tcW w:w="303" w:type="pct"/>
            <w:shd w:val="clear" w:color="auto" w:fill="auto"/>
            <w:vAlign w:val="center"/>
          </w:tcPr>
          <w:p>
            <w:pPr>
              <w:spacing w:line="300" w:lineRule="exact"/>
              <w:jc w:val="center"/>
              <w:rPr>
                <w:rFonts w:ascii="仿宋_GB2312" w:eastAsia="仿宋_GB2312" w:cs="Times New Roman"/>
                <w:sz w:val="32"/>
                <w:szCs w:val="32"/>
              </w:rPr>
            </w:pPr>
          </w:p>
        </w:tc>
        <w:tc>
          <w:tcPr>
            <w:tcW w:w="482" w:type="pct"/>
            <w:shd w:val="clear" w:color="auto" w:fill="auto"/>
            <w:vAlign w:val="center"/>
          </w:tcPr>
          <w:p>
            <w:pPr>
              <w:spacing w:line="300" w:lineRule="exact"/>
              <w:jc w:val="center"/>
              <w:rPr>
                <w:rFonts w:ascii="仿宋_GB2312" w:eastAsia="仿宋_GB2312" w:cs="Times New Roman"/>
                <w:sz w:val="32"/>
                <w:szCs w:val="32"/>
              </w:rPr>
            </w:pPr>
          </w:p>
        </w:tc>
        <w:tc>
          <w:tcPr>
            <w:tcW w:w="303" w:type="pct"/>
            <w:shd w:val="clear" w:color="auto" w:fill="auto"/>
            <w:vAlign w:val="center"/>
          </w:tcPr>
          <w:p>
            <w:pPr>
              <w:spacing w:line="300" w:lineRule="exact"/>
              <w:jc w:val="center"/>
              <w:rPr>
                <w:rFonts w:ascii="仿宋_GB2312" w:eastAsia="仿宋_GB2312" w:cs="Times New Roman"/>
                <w:sz w:val="32"/>
                <w:szCs w:val="32"/>
              </w:rPr>
            </w:pPr>
          </w:p>
        </w:tc>
        <w:tc>
          <w:tcPr>
            <w:tcW w:w="303" w:type="pct"/>
            <w:shd w:val="clear" w:color="auto" w:fill="auto"/>
            <w:vAlign w:val="center"/>
          </w:tcPr>
          <w:p>
            <w:pPr>
              <w:spacing w:line="300" w:lineRule="exact"/>
              <w:jc w:val="center"/>
              <w:rPr>
                <w:rFonts w:ascii="仿宋_GB2312" w:eastAsia="仿宋_GB2312" w:cs="Times New Roman"/>
                <w:sz w:val="32"/>
                <w:szCs w:val="32"/>
              </w:rPr>
            </w:pPr>
          </w:p>
        </w:tc>
        <w:tc>
          <w:tcPr>
            <w:tcW w:w="310" w:type="pct"/>
            <w:shd w:val="clear" w:color="auto" w:fill="auto"/>
            <w:vAlign w:val="center"/>
          </w:tcPr>
          <w:p>
            <w:pPr>
              <w:spacing w:line="300" w:lineRule="exact"/>
              <w:jc w:val="center"/>
              <w:rPr>
                <w:rFonts w:ascii="仿宋_GB2312" w:eastAsia="仿宋_GB2312" w:cs="Times New Roman"/>
                <w:sz w:val="32"/>
                <w:szCs w:val="32"/>
              </w:rPr>
            </w:pPr>
          </w:p>
        </w:tc>
        <w:tc>
          <w:tcPr>
            <w:tcW w:w="310" w:type="pct"/>
            <w:shd w:val="clear" w:color="auto" w:fill="auto"/>
            <w:vAlign w:val="center"/>
          </w:tcPr>
          <w:p>
            <w:pPr>
              <w:spacing w:line="300" w:lineRule="exact"/>
              <w:jc w:val="center"/>
              <w:rPr>
                <w:rFonts w:ascii="仿宋_GB2312" w:eastAsia="仿宋_GB2312" w:cs="Times New Roman"/>
                <w:sz w:val="32"/>
                <w:szCs w:val="32"/>
              </w:rPr>
            </w:pPr>
          </w:p>
        </w:tc>
        <w:tc>
          <w:tcPr>
            <w:tcW w:w="310" w:type="pct"/>
            <w:shd w:val="clear" w:color="auto" w:fill="auto"/>
            <w:vAlign w:val="center"/>
          </w:tcPr>
          <w:p>
            <w:pPr>
              <w:spacing w:line="300" w:lineRule="exact"/>
              <w:jc w:val="center"/>
              <w:rPr>
                <w:rFonts w:ascii="仿宋_GB2312" w:eastAsia="仿宋_GB2312" w:cs="Times New Roman"/>
                <w:sz w:val="32"/>
                <w:szCs w:val="32"/>
              </w:rPr>
            </w:pPr>
          </w:p>
        </w:tc>
        <w:tc>
          <w:tcPr>
            <w:tcW w:w="310" w:type="pct"/>
            <w:shd w:val="clear" w:color="auto" w:fill="auto"/>
            <w:vAlign w:val="center"/>
          </w:tcPr>
          <w:p>
            <w:pPr>
              <w:spacing w:line="300" w:lineRule="exact"/>
              <w:jc w:val="center"/>
              <w:rPr>
                <w:rFonts w:ascii="仿宋_GB2312" w:eastAsia="仿宋_GB2312" w:cs="Times New Roman"/>
                <w:sz w:val="32"/>
                <w:szCs w:val="32"/>
              </w:rPr>
            </w:pPr>
          </w:p>
        </w:tc>
        <w:tc>
          <w:tcPr>
            <w:tcW w:w="282" w:type="pct"/>
            <w:shd w:val="clear" w:color="auto" w:fill="auto"/>
            <w:vAlign w:val="center"/>
          </w:tcPr>
          <w:p>
            <w:pPr>
              <w:spacing w:line="300" w:lineRule="exact"/>
              <w:jc w:val="center"/>
              <w:rPr>
                <w:rFonts w:ascii="仿宋_GB2312" w:eastAsia="仿宋_GB2312" w:cs="Times New Roman"/>
                <w:sz w:val="32"/>
                <w:szCs w:val="32"/>
              </w:rPr>
            </w:pPr>
          </w:p>
        </w:tc>
        <w:tc>
          <w:tcPr>
            <w:tcW w:w="304" w:type="pct"/>
            <w:shd w:val="clear" w:color="auto" w:fill="auto"/>
            <w:vAlign w:val="center"/>
          </w:tcPr>
          <w:p>
            <w:pPr>
              <w:spacing w:line="300" w:lineRule="exact"/>
              <w:jc w:val="center"/>
              <w:rPr>
                <w:rFonts w:ascii="仿宋_GB2312" w:eastAsia="仿宋_GB2312" w:cs="Times New Roman"/>
                <w:sz w:val="32"/>
                <w:szCs w:val="32"/>
              </w:rPr>
            </w:pPr>
          </w:p>
        </w:tc>
        <w:tc>
          <w:tcPr>
            <w:tcW w:w="304" w:type="pct"/>
            <w:shd w:val="clear" w:color="auto" w:fill="auto"/>
            <w:vAlign w:val="center"/>
          </w:tcPr>
          <w:p>
            <w:pPr>
              <w:spacing w:line="300" w:lineRule="exact"/>
              <w:jc w:val="center"/>
              <w:rPr>
                <w:rFonts w:ascii="仿宋_GB2312" w:eastAsia="仿宋_GB2312" w:cs="Times New Roman"/>
                <w:sz w:val="32"/>
                <w:szCs w:val="32"/>
              </w:rPr>
            </w:pPr>
          </w:p>
        </w:tc>
        <w:tc>
          <w:tcPr>
            <w:tcW w:w="286" w:type="pct"/>
            <w:shd w:val="clear" w:color="auto" w:fill="auto"/>
            <w:vAlign w:val="center"/>
          </w:tcPr>
          <w:p>
            <w:pPr>
              <w:spacing w:line="300" w:lineRule="exact"/>
              <w:jc w:val="center"/>
              <w:rPr>
                <w:rFonts w:ascii="仿宋_GB2312" w:eastAsia="仿宋_GB2312" w:cs="Times New Roman"/>
                <w:sz w:val="32"/>
                <w:szCs w:val="32"/>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我部门（含所属单位）上年末固定资产金额为598.97万元，我部门本年度无拟购置固定资产，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215" w:type="dxa"/>
        <w:jc w:val="center"/>
        <w:tblCellSpacing w:w="0" w:type="dxa"/>
        <w:tblLayout w:type="autofit"/>
        <w:tblCellMar>
          <w:top w:w="0" w:type="dxa"/>
          <w:left w:w="0" w:type="dxa"/>
          <w:bottom w:w="0" w:type="dxa"/>
          <w:right w:w="0" w:type="dxa"/>
        </w:tblCellMar>
      </w:tblPr>
      <w:tblGrid>
        <w:gridCol w:w="3780"/>
        <w:gridCol w:w="2750"/>
        <w:gridCol w:w="3805"/>
      </w:tblGrid>
      <w:tr>
        <w:tblPrEx>
          <w:tblCellMar>
            <w:top w:w="0" w:type="dxa"/>
            <w:left w:w="0" w:type="dxa"/>
            <w:bottom w:w="0" w:type="dxa"/>
            <w:right w:w="0" w:type="dxa"/>
          </w:tblCellMar>
        </w:tblPrEx>
        <w:trPr>
          <w:trHeight w:val="705" w:hRule="atLeast"/>
          <w:tblCellSpacing w:w="0" w:type="dxa"/>
          <w:jc w:val="center"/>
        </w:trPr>
        <w:tc>
          <w:tcPr>
            <w:tcW w:w="1024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b/>
                <w:bCs/>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7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编制部门：廊坊市广阳区农业局</w:t>
            </w:r>
          </w:p>
        </w:tc>
        <w:tc>
          <w:tcPr>
            <w:tcW w:w="378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b/>
                <w:bCs/>
                <w:kern w:val="0"/>
                <w:sz w:val="28"/>
                <w:szCs w:val="28"/>
                <w:lang w:eastAsia="zh-CN"/>
              </w:rPr>
              <w:t>截至</w:t>
            </w:r>
            <w:r>
              <w:rPr>
                <w:rFonts w:hint="eastAsia" w:ascii="仿宋_GB2312" w:eastAsia="仿宋_GB2312" w:cs="宋体"/>
                <w:b/>
                <w:bCs/>
                <w:kern w:val="0"/>
                <w:sz w:val="28"/>
                <w:szCs w:val="28"/>
              </w:rPr>
              <w:t>时间：2016年12月31日</w:t>
            </w:r>
            <w:r>
              <w:rPr>
                <w:rFonts w:ascii="宋体" w:hAnsi="宋体" w:eastAsia="仿宋_GB2312" w:cs="宋体"/>
                <w:b/>
                <w:bCs/>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资产总额</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598.97</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1、房屋（平方米）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2314.78</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149.91</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ascii="宋体" w:hAnsi="宋体" w:eastAsia="仿宋_GB2312" w:cs="宋体"/>
                <w:b/>
                <w:bCs/>
                <w:kern w:val="0"/>
                <w:sz w:val="28"/>
                <w:szCs w:val="28"/>
              </w:rPr>
              <w:t>  </w:t>
            </w:r>
            <w:r>
              <w:rPr>
                <w:rFonts w:hint="eastAsia" w:ascii="仿宋_GB2312" w:eastAsia="仿宋_GB2312" w:cs="宋体"/>
                <w:b/>
                <w:bCs/>
                <w:kern w:val="0"/>
                <w:sz w:val="28"/>
                <w:szCs w:val="28"/>
              </w:rPr>
              <w:t>其中：办公用房（平方米）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2314.78</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149.91</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2、车辆（台、辆）</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10</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95.88</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3、单价在50万元以上的设备</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0</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4、其他固定资产</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28"/>
                <w:szCs w:val="28"/>
              </w:rPr>
            </w:pPr>
            <w:r>
              <w:rPr>
                <w:rFonts w:ascii="宋体" w:hAnsi="宋体" w:eastAsia="仿宋_GB2312" w:cs="宋体"/>
                <w:b/>
                <w:bCs/>
                <w:kern w:val="0"/>
                <w:sz w:val="28"/>
                <w:szCs w:val="28"/>
              </w:rPr>
              <w:t> </w:t>
            </w:r>
          </w:p>
        </w:tc>
        <w:tc>
          <w:tcPr>
            <w:tcW w:w="37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353.18</w:t>
            </w:r>
          </w:p>
        </w:tc>
      </w:tr>
    </w:tbl>
    <w:p>
      <w:pPr>
        <w:pStyle w:val="8"/>
        <w:ind w:left="482" w:hanging="482" w:hangingChars="15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A57544"/>
    <w:rsid w:val="0038459D"/>
    <w:rsid w:val="00936C1F"/>
    <w:rsid w:val="00A57544"/>
    <w:rsid w:val="2A6B47DF"/>
    <w:rsid w:val="61CF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qFormat/>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1280</Words>
  <Characters>7301</Characters>
  <Lines>60</Lines>
  <Paragraphs>17</Paragraphs>
  <TotalTime>6</TotalTime>
  <ScaleCrop>false</ScaleCrop>
  <LinksUpToDate>false</LinksUpToDate>
  <CharactersWithSpaces>8564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2017-10-27T09:49:00Z</dcterms:created>
  <dc:creator>lenovo</dc:creator>
  <cp:lastModifiedBy>111</cp:lastModifiedBy>
  <dcterms:modified xsi:type="dcterms:W3CDTF">2024-05-15T06:51:54Z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2917112E05A841EEA24FB47879194642</vt:lpwstr>
  </property>
</Properties>
</file>