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95" w:rsidRDefault="00031B80">
      <w:pPr>
        <w:jc w:val="center"/>
        <w:rPr>
          <w:rFonts w:ascii="方正小标宋简体" w:eastAsia="方正小标宋简体" w:cs="宋体"/>
          <w:b/>
          <w:bCs/>
          <w:color w:val="000000"/>
          <w:kern w:val="0"/>
          <w:sz w:val="44"/>
          <w:szCs w:val="44"/>
        </w:rPr>
      </w:pPr>
      <w:r>
        <w:rPr>
          <w:rFonts w:ascii="方正小标宋简体" w:eastAsia="方正小标宋简体" w:cs="宋体" w:hint="eastAsia"/>
          <w:b/>
          <w:bCs/>
          <w:color w:val="000000"/>
          <w:kern w:val="0"/>
          <w:sz w:val="44"/>
          <w:szCs w:val="44"/>
        </w:rPr>
        <w:t>河北廊坊广阳经济开发区管理委员会</w:t>
      </w:r>
      <w:r>
        <w:rPr>
          <w:rFonts w:ascii="方正小标宋简体" w:eastAsia="方正小标宋简体" w:cs="宋体" w:hint="eastAsia"/>
          <w:b/>
          <w:bCs/>
          <w:color w:val="000000"/>
          <w:kern w:val="0"/>
          <w:sz w:val="44"/>
          <w:szCs w:val="44"/>
        </w:rPr>
        <w:t>2017</w:t>
      </w:r>
      <w:r>
        <w:rPr>
          <w:rFonts w:ascii="方正小标宋简体" w:eastAsia="方正小标宋简体" w:cs="宋体" w:hint="eastAsia"/>
          <w:b/>
          <w:bCs/>
          <w:color w:val="000000"/>
          <w:kern w:val="0"/>
          <w:sz w:val="44"/>
          <w:szCs w:val="44"/>
        </w:rPr>
        <w:t>年预算</w:t>
      </w:r>
      <w:r>
        <w:rPr>
          <w:rFonts w:ascii="方正小标宋简体" w:eastAsia="方正小标宋简体" w:hint="eastAsia"/>
          <w:sz w:val="44"/>
          <w:szCs w:val="44"/>
        </w:rPr>
        <w:t>信息</w:t>
      </w:r>
      <w:r>
        <w:rPr>
          <w:rFonts w:ascii="方正小标宋简体" w:eastAsia="方正小标宋简体" w:cs="宋体" w:hint="eastAsia"/>
          <w:b/>
          <w:bCs/>
          <w:color w:val="000000"/>
          <w:kern w:val="0"/>
          <w:sz w:val="44"/>
          <w:szCs w:val="44"/>
        </w:rPr>
        <w:t>公开</w:t>
      </w:r>
    </w:p>
    <w:p w:rsidR="00152195" w:rsidRDefault="00152195">
      <w:pPr>
        <w:jc w:val="center"/>
        <w:rPr>
          <w:rFonts w:ascii="方正小标宋简体" w:eastAsia="方正小标宋简体"/>
          <w:sz w:val="44"/>
          <w:szCs w:val="44"/>
        </w:rPr>
      </w:pPr>
    </w:p>
    <w:p w:rsidR="00152195" w:rsidRDefault="00031B80">
      <w:pPr>
        <w:ind w:firstLineChars="200" w:firstLine="640"/>
        <w:rPr>
          <w:rFonts w:ascii="仿宋_GB2312" w:eastAsia="仿宋_GB2312"/>
          <w:sz w:val="32"/>
          <w:szCs w:val="32"/>
        </w:rPr>
      </w:pPr>
      <w:r>
        <w:rPr>
          <w:rFonts w:ascii="仿宋_GB2312" w:eastAsia="仿宋_GB2312" w:hint="eastAsia"/>
          <w:sz w:val="32"/>
          <w:szCs w:val="32"/>
        </w:rPr>
        <w:t>按照《预算法》、《地方预决算公开操作规程》和《河北省省级预算公开办法》规定，现将</w:t>
      </w:r>
      <w:r>
        <w:rPr>
          <w:rFonts w:ascii="仿宋_GB2312" w:eastAsia="仿宋_GB2312" w:cs="宋体" w:hint="eastAsia"/>
          <w:color w:val="000000"/>
          <w:kern w:val="0"/>
          <w:sz w:val="32"/>
          <w:szCs w:val="32"/>
        </w:rPr>
        <w:t>河北廊坊广阳经济开发区管理委员会</w:t>
      </w:r>
      <w:r>
        <w:rPr>
          <w:rFonts w:ascii="仿宋_GB2312" w:eastAsia="仿宋_GB2312" w:hint="eastAsia"/>
          <w:sz w:val="32"/>
          <w:szCs w:val="32"/>
        </w:rPr>
        <w:t>2017</w:t>
      </w:r>
      <w:r>
        <w:rPr>
          <w:rFonts w:ascii="仿宋_GB2312" w:eastAsia="仿宋_GB2312" w:hint="eastAsia"/>
          <w:sz w:val="32"/>
          <w:szCs w:val="32"/>
        </w:rPr>
        <w:t>年部门预算公开如下：</w:t>
      </w:r>
    </w:p>
    <w:p w:rsidR="00152195" w:rsidRDefault="00031B80">
      <w:pPr>
        <w:widowControl/>
        <w:ind w:leftChars="304" w:left="638"/>
        <w:jc w:val="left"/>
        <w:rPr>
          <w:rFonts w:ascii="仿宋_GB2312" w:eastAsia="仿宋_GB2312" w:cs="宋体"/>
          <w:b/>
          <w:bCs/>
          <w:color w:val="000000"/>
          <w:kern w:val="0"/>
          <w:sz w:val="32"/>
          <w:szCs w:val="32"/>
        </w:rPr>
      </w:pPr>
      <w:r>
        <w:rPr>
          <w:rFonts w:ascii="黑体" w:eastAsia="黑体" w:cs="宋体" w:hint="eastAsia"/>
          <w:color w:val="000000"/>
          <w:kern w:val="0"/>
          <w:sz w:val="32"/>
          <w:szCs w:val="32"/>
        </w:rPr>
        <w:t>一、部门职责及机构设置情况</w:t>
      </w:r>
      <w:r w:rsidR="00BD5D24">
        <w:rPr>
          <w:rFonts w:ascii="黑体" w:eastAsia="黑体" w:cs="宋体" w:hint="eastAsia"/>
          <w:color w:val="000000"/>
          <w:kern w:val="0"/>
          <w:sz w:val="32"/>
          <w:szCs w:val="32"/>
        </w:rPr>
        <w:t xml:space="preserve">  </w:t>
      </w:r>
      <w:r>
        <w:rPr>
          <w:rFonts w:ascii="黑体" w:eastAsia="黑体" w:cs="宋体" w:hint="eastAsia"/>
          <w:color w:val="000000"/>
          <w:kern w:val="0"/>
          <w:sz w:val="32"/>
          <w:szCs w:val="32"/>
        </w:rPr>
        <w:br/>
      </w:r>
      <w:r>
        <w:rPr>
          <w:rFonts w:ascii="仿宋_GB2312" w:eastAsia="仿宋_GB2312" w:cs="宋体" w:hint="eastAsia"/>
          <w:b/>
          <w:bCs/>
          <w:color w:val="000000"/>
          <w:kern w:val="0"/>
          <w:sz w:val="32"/>
          <w:szCs w:val="32"/>
        </w:rPr>
        <w:t>部门职责：</w:t>
      </w:r>
      <w:r>
        <w:rPr>
          <w:rFonts w:ascii="仿宋_GB2312" w:eastAsia="仿宋_GB2312" w:cs="宋体" w:hint="eastAsia"/>
          <w:color w:val="000000"/>
          <w:kern w:val="0"/>
          <w:sz w:val="32"/>
          <w:szCs w:val="32"/>
        </w:rPr>
        <w:br/>
        <w:t>1</w:t>
      </w:r>
      <w:r>
        <w:rPr>
          <w:rFonts w:ascii="仿宋_GB2312" w:eastAsia="仿宋_GB2312" w:cs="宋体" w:hint="eastAsia"/>
          <w:color w:val="000000"/>
          <w:kern w:val="0"/>
          <w:sz w:val="32"/>
          <w:szCs w:val="32"/>
        </w:rPr>
        <w:t>、是贯彻执行党和国家的方针、政策、法律、法规和市、区人民政府的有关规定，制定产业区科技、经济、社会发展的规划、各项计划和产业区行政管理规定，并组织实施。</w:t>
      </w:r>
      <w:r>
        <w:rPr>
          <w:rFonts w:ascii="仿宋_GB2312" w:eastAsia="仿宋_GB2312" w:cs="宋体" w:hint="eastAsia"/>
          <w:color w:val="000000"/>
          <w:kern w:val="0"/>
          <w:sz w:val="32"/>
          <w:szCs w:val="32"/>
        </w:rPr>
        <w:br/>
        <w:t>2</w:t>
      </w:r>
      <w:r>
        <w:rPr>
          <w:rFonts w:ascii="仿宋_GB2312" w:eastAsia="仿宋_GB2312" w:cs="宋体" w:hint="eastAsia"/>
          <w:color w:val="000000"/>
          <w:kern w:val="0"/>
          <w:sz w:val="32"/>
          <w:szCs w:val="32"/>
        </w:rPr>
        <w:t>、是制定产业区招商引资政策，编制招商规划，发布对外招商项目；组织对外招商活动和对外经济技术合作。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、是负责产业区建设用地的开发、利用和管理；负责产业区的城市建设和管理工作。</w:t>
      </w:r>
      <w:r>
        <w:rPr>
          <w:rFonts w:ascii="仿宋_GB2312" w:eastAsia="仿宋_GB2312" w:cs="宋体" w:hint="eastAsia"/>
          <w:color w:val="000000"/>
          <w:kern w:val="0"/>
          <w:sz w:val="32"/>
          <w:szCs w:val="32"/>
        </w:rPr>
        <w:br/>
      </w:r>
      <w:r>
        <w:rPr>
          <w:rFonts w:ascii="仿宋_GB2312" w:eastAsia="仿宋_GB2312" w:cs="宋体" w:hint="eastAsia"/>
          <w:b/>
          <w:bCs/>
          <w:color w:val="000000"/>
          <w:kern w:val="0"/>
          <w:sz w:val="32"/>
          <w:szCs w:val="32"/>
        </w:rPr>
        <w:t>机构设置：</w:t>
      </w:r>
    </w:p>
    <w:p w:rsidR="00152195" w:rsidRDefault="00031B80">
      <w:pPr>
        <w:widowControl/>
        <w:jc w:val="center"/>
        <w:rPr>
          <w:rFonts w:ascii="仿宋_GB2312" w:eastAsia="仿宋_GB2312" w:cs="宋体"/>
          <w:kern w:val="0"/>
          <w:sz w:val="32"/>
          <w:szCs w:val="32"/>
        </w:rPr>
      </w:pPr>
      <w:r>
        <w:rPr>
          <w:rFonts w:ascii="仿宋_GB2312" w:eastAsia="仿宋_GB2312" w:cs="宋体" w:hint="eastAsia"/>
          <w:color w:val="000000"/>
          <w:kern w:val="0"/>
          <w:sz w:val="32"/>
          <w:szCs w:val="32"/>
        </w:rPr>
        <w:t>部门机构设置情况</w:t>
      </w:r>
    </w:p>
    <w:p w:rsidR="00152195" w:rsidRDefault="00152195">
      <w:pPr>
        <w:widowControl/>
        <w:jc w:val="center"/>
        <w:rPr>
          <w:rFonts w:ascii="仿宋_GB2312" w:eastAsia="仿宋_GB2312" w:cs="宋体"/>
          <w:kern w:val="0"/>
          <w:sz w:val="32"/>
          <w:szCs w:val="32"/>
        </w:rPr>
      </w:pPr>
    </w:p>
    <w:tbl>
      <w:tblPr>
        <w:tblW w:w="1057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45"/>
        <w:gridCol w:w="1402"/>
        <w:gridCol w:w="1290"/>
        <w:gridCol w:w="3642"/>
      </w:tblGrid>
      <w:tr w:rsidR="00152195">
        <w:trPr>
          <w:trHeight w:val="422"/>
          <w:tblHeader/>
          <w:tblCellSpacing w:w="0" w:type="dxa"/>
          <w:jc w:val="center"/>
        </w:trPr>
        <w:tc>
          <w:tcPr>
            <w:tcW w:w="4276"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单位名称</w:t>
            </w:r>
          </w:p>
        </w:tc>
        <w:tc>
          <w:tcPr>
            <w:tcW w:w="1411"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单位性质</w:t>
            </w:r>
          </w:p>
        </w:tc>
        <w:tc>
          <w:tcPr>
            <w:tcW w:w="1298"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单位规格</w:t>
            </w:r>
          </w:p>
        </w:tc>
        <w:tc>
          <w:tcPr>
            <w:tcW w:w="3670"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经费保障形式</w:t>
            </w:r>
          </w:p>
        </w:tc>
      </w:tr>
      <w:tr w:rsidR="00152195">
        <w:trPr>
          <w:trHeight w:val="548"/>
          <w:tblCellSpacing w:w="0" w:type="dxa"/>
          <w:jc w:val="center"/>
        </w:trPr>
        <w:tc>
          <w:tcPr>
            <w:tcW w:w="4276"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spacing w:line="225" w:lineRule="atLeast"/>
              <w:jc w:val="center"/>
              <w:rPr>
                <w:rFonts w:ascii="宋体" w:eastAsia="仿宋_GB2312" w:hAnsi="宋体" w:cs="宋体"/>
                <w:kern w:val="0"/>
                <w:sz w:val="24"/>
                <w:szCs w:val="24"/>
              </w:rPr>
            </w:pPr>
            <w:r>
              <w:rPr>
                <w:rFonts w:ascii="仿宋_GB2312" w:eastAsia="仿宋_GB2312" w:cs="宋体" w:hint="eastAsia"/>
                <w:kern w:val="0"/>
                <w:sz w:val="24"/>
                <w:szCs w:val="24"/>
              </w:rPr>
              <w:t>河北廊坊广阳经济开发区管理委员会</w:t>
            </w:r>
            <w:r>
              <w:rPr>
                <w:rFonts w:ascii="宋体" w:eastAsia="仿宋_GB2312" w:hAnsi="宋体" w:cs="宋体"/>
                <w:kern w:val="0"/>
                <w:sz w:val="24"/>
                <w:szCs w:val="24"/>
              </w:rPr>
              <w:t> </w:t>
            </w:r>
          </w:p>
        </w:tc>
        <w:tc>
          <w:tcPr>
            <w:tcW w:w="1411"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行政单位</w:t>
            </w:r>
          </w:p>
        </w:tc>
        <w:tc>
          <w:tcPr>
            <w:tcW w:w="1298"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副处级</w:t>
            </w:r>
          </w:p>
        </w:tc>
        <w:tc>
          <w:tcPr>
            <w:tcW w:w="3670" w:type="dxa"/>
            <w:tcBorders>
              <w:top w:val="outset" w:sz="6" w:space="0" w:color="auto"/>
              <w:left w:val="outset" w:sz="6" w:space="0" w:color="auto"/>
              <w:bottom w:val="outset" w:sz="6" w:space="0" w:color="auto"/>
              <w:right w:val="outset" w:sz="6" w:space="0" w:color="auto"/>
            </w:tcBorders>
            <w:vAlign w:val="center"/>
          </w:tcPr>
          <w:p w:rsidR="00152195" w:rsidRDefault="00031B80">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财政拨款</w:t>
            </w:r>
          </w:p>
        </w:tc>
      </w:tr>
    </w:tbl>
    <w:p w:rsidR="00152195" w:rsidRDefault="00031B80">
      <w:pPr>
        <w:widowControl/>
        <w:ind w:leftChars="304" w:left="638"/>
        <w:jc w:val="left"/>
        <w:rPr>
          <w:rFonts w:ascii="黑体" w:eastAsia="黑体" w:cs="宋体"/>
          <w:color w:val="000000"/>
          <w:kern w:val="0"/>
          <w:sz w:val="32"/>
          <w:szCs w:val="32"/>
        </w:rPr>
      </w:pPr>
      <w:r>
        <w:rPr>
          <w:rFonts w:ascii="黑体" w:eastAsia="黑体" w:cs="宋体" w:hint="eastAsia"/>
          <w:b/>
          <w:bCs/>
          <w:color w:val="000000"/>
          <w:kern w:val="0"/>
          <w:sz w:val="32"/>
          <w:szCs w:val="32"/>
        </w:rPr>
        <w:t>二、部门预算安排的总体情况</w:t>
      </w:r>
    </w:p>
    <w:p w:rsidR="00152195" w:rsidRDefault="00031B80">
      <w:pPr>
        <w:widowControl/>
        <w:ind w:leftChars="304" w:left="638"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1</w:t>
      </w:r>
      <w:r>
        <w:rPr>
          <w:rFonts w:ascii="楷体_GB2312" w:eastAsia="楷体_GB2312" w:cs="宋体" w:hint="eastAsia"/>
          <w:b/>
          <w:bCs/>
          <w:color w:val="000000"/>
          <w:kern w:val="0"/>
          <w:sz w:val="32"/>
          <w:szCs w:val="32"/>
        </w:rPr>
        <w:t>、收入说明</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202.87</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202.87</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2</w:t>
      </w:r>
      <w:r>
        <w:rPr>
          <w:rFonts w:ascii="楷体_GB2312" w:eastAsia="楷体_GB2312" w:cs="宋体" w:hint="eastAsia"/>
          <w:b/>
          <w:bCs/>
          <w:color w:val="000000"/>
          <w:kern w:val="0"/>
          <w:sz w:val="32"/>
          <w:szCs w:val="32"/>
        </w:rPr>
        <w:t>、支出说明</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202.87</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202.87</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3</w:t>
      </w:r>
      <w:r>
        <w:rPr>
          <w:rFonts w:ascii="楷体_GB2312" w:eastAsia="楷体_GB2312" w:cs="宋体" w:hint="eastAsia"/>
          <w:b/>
          <w:bCs/>
          <w:color w:val="000000"/>
          <w:kern w:val="0"/>
          <w:sz w:val="32"/>
          <w:szCs w:val="32"/>
        </w:rPr>
        <w:t>、比上年增减情况</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202.87</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年预算减少</w:t>
      </w:r>
      <w:r>
        <w:rPr>
          <w:rFonts w:ascii="仿宋_GB2312" w:eastAsia="仿宋_GB2312" w:cs="宋体" w:hint="eastAsia"/>
          <w:color w:val="000000"/>
          <w:kern w:val="0"/>
          <w:sz w:val="32"/>
          <w:szCs w:val="32"/>
        </w:rPr>
        <w:t>33.74</w:t>
      </w:r>
      <w:r>
        <w:rPr>
          <w:rFonts w:ascii="仿宋_GB2312" w:eastAsia="仿宋_GB2312" w:cs="宋体" w:hint="eastAsia"/>
          <w:color w:val="000000"/>
          <w:kern w:val="0"/>
          <w:sz w:val="32"/>
          <w:szCs w:val="32"/>
        </w:rPr>
        <w:t>万元，其中：基本</w:t>
      </w:r>
      <w:r>
        <w:rPr>
          <w:rFonts w:ascii="仿宋_GB2312" w:eastAsia="仿宋_GB2312" w:cs="宋体" w:hint="eastAsia"/>
          <w:color w:val="000000"/>
          <w:kern w:val="0"/>
          <w:sz w:val="32"/>
          <w:szCs w:val="32"/>
        </w:rPr>
        <w:lastRenderedPageBreak/>
        <w:t>支出减少</w:t>
      </w:r>
      <w:r>
        <w:rPr>
          <w:rFonts w:ascii="仿宋_GB2312" w:eastAsia="仿宋_GB2312" w:cs="宋体" w:hint="eastAsia"/>
          <w:color w:val="000000"/>
          <w:kern w:val="0"/>
          <w:sz w:val="32"/>
          <w:szCs w:val="32"/>
        </w:rPr>
        <w:t>3.74</w:t>
      </w:r>
      <w:r>
        <w:rPr>
          <w:rFonts w:ascii="仿宋_GB2312" w:eastAsia="仿宋_GB2312" w:cs="宋体" w:hint="eastAsia"/>
          <w:color w:val="000000"/>
          <w:kern w:val="0"/>
          <w:sz w:val="32"/>
          <w:szCs w:val="32"/>
        </w:rPr>
        <w:t>万元，主要为减少人员经费支出；项目支出减少</w:t>
      </w:r>
      <w:r>
        <w:rPr>
          <w:rFonts w:ascii="仿宋_GB2312" w:eastAsia="仿宋_GB2312" w:cs="宋体" w:hint="eastAsia"/>
          <w:color w:val="000000"/>
          <w:kern w:val="0"/>
          <w:sz w:val="32"/>
          <w:szCs w:val="32"/>
        </w:rPr>
        <w:t>30</w:t>
      </w:r>
      <w:r>
        <w:rPr>
          <w:rFonts w:ascii="仿宋_GB2312" w:eastAsia="仿宋_GB2312" w:cs="宋体" w:hint="eastAsia"/>
          <w:color w:val="000000"/>
          <w:kern w:val="0"/>
          <w:sz w:val="32"/>
          <w:szCs w:val="32"/>
        </w:rPr>
        <w:t>万元，主要为财力紧张预算未安排。</w:t>
      </w:r>
    </w:p>
    <w:p w:rsidR="00152195" w:rsidRDefault="00031B80" w:rsidP="00BD5D24">
      <w:pPr>
        <w:widowControl/>
        <w:ind w:leftChars="380" w:left="798" w:firstLineChars="150" w:firstLine="482"/>
        <w:jc w:val="left"/>
        <w:rPr>
          <w:rFonts w:ascii="仿宋_GB2312" w:eastAsia="仿宋_GB2312" w:cs="宋体"/>
          <w:color w:val="000000"/>
          <w:kern w:val="0"/>
          <w:sz w:val="32"/>
          <w:szCs w:val="32"/>
        </w:rPr>
      </w:pPr>
      <w:r>
        <w:rPr>
          <w:rFonts w:ascii="黑体" w:eastAsia="黑体" w:cs="宋体" w:hint="eastAsia"/>
          <w:b/>
          <w:bCs/>
          <w:color w:val="000000"/>
          <w:kern w:val="0"/>
          <w:sz w:val="32"/>
          <w:szCs w:val="32"/>
        </w:rPr>
        <w:t>三、机关运行经费安排情况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70.8</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0.39</w:t>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万元，其他业务费</w:t>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70.41</w:t>
      </w:r>
      <w:r>
        <w:rPr>
          <w:rFonts w:ascii="仿宋_GB2312" w:eastAsia="仿宋_GB2312" w:cs="宋体" w:hint="eastAsia"/>
          <w:color w:val="000000"/>
          <w:kern w:val="0"/>
          <w:sz w:val="32"/>
          <w:szCs w:val="32"/>
        </w:rPr>
        <w:t>万元。</w:t>
      </w:r>
    </w:p>
    <w:p w:rsidR="00152195" w:rsidRDefault="00031B80" w:rsidP="00BD5D24">
      <w:pPr>
        <w:widowControl/>
        <w:ind w:leftChars="380" w:left="798" w:firstLineChars="150" w:firstLine="482"/>
        <w:jc w:val="left"/>
        <w:rPr>
          <w:rFonts w:ascii="黑体" w:eastAsia="黑体" w:cs="宋体"/>
          <w:b/>
          <w:bCs/>
          <w:color w:val="000000"/>
          <w:kern w:val="0"/>
          <w:sz w:val="32"/>
          <w:szCs w:val="32"/>
        </w:rPr>
      </w:pPr>
      <w:r>
        <w:rPr>
          <w:rFonts w:ascii="黑体" w:eastAsia="黑体" w:cs="宋体" w:hint="eastAsia"/>
          <w:b/>
          <w:bCs/>
          <w:color w:val="000000"/>
          <w:kern w:val="0"/>
          <w:sz w:val="32"/>
          <w:szCs w:val="32"/>
        </w:rPr>
        <w:t>四、财政拨款“三公”经费预算情况及增减变化原因</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r>
        <w:rPr>
          <w:rFonts w:ascii="仿宋_GB2312" w:eastAsia="仿宋_GB2312" w:cs="宋体" w:hint="eastAsia"/>
          <w:color w:val="000000"/>
          <w:kern w:val="0"/>
          <w:sz w:val="32"/>
          <w:szCs w:val="32"/>
        </w:rPr>
        <w:br/>
      </w:r>
      <w:r>
        <w:rPr>
          <w:rFonts w:ascii="黑体" w:eastAsia="黑体" w:cs="宋体" w:hint="eastAsia"/>
          <w:b/>
          <w:bCs/>
          <w:color w:val="000000"/>
          <w:kern w:val="0"/>
          <w:sz w:val="32"/>
          <w:szCs w:val="32"/>
        </w:rPr>
        <w:t>五、绩效预算信息</w:t>
      </w:r>
    </w:p>
    <w:p w:rsidR="00152195" w:rsidRDefault="00031B80">
      <w:pPr>
        <w:widowControl/>
        <w:ind w:leftChars="532" w:left="1117" w:firstLineChars="50" w:firstLine="160"/>
        <w:jc w:val="left"/>
        <w:rPr>
          <w:rFonts w:ascii="仿宋_GB2312" w:eastAsia="仿宋_GB2312" w:cs="宋体"/>
          <w:b/>
          <w:bCs/>
          <w:color w:val="000000"/>
          <w:kern w:val="0"/>
          <w:sz w:val="32"/>
          <w:szCs w:val="32"/>
        </w:rPr>
      </w:pPr>
      <w:r>
        <w:rPr>
          <w:rFonts w:ascii="仿宋_GB2312" w:eastAsia="仿宋_GB2312" w:cs="宋体" w:hint="eastAsia"/>
          <w:b/>
          <w:bCs/>
          <w:color w:val="000000"/>
          <w:kern w:val="0"/>
          <w:sz w:val="32"/>
          <w:szCs w:val="32"/>
        </w:rPr>
        <w:t>总体绩效目标：</w:t>
      </w:r>
    </w:p>
    <w:p w:rsidR="00152195" w:rsidRDefault="00031B80">
      <w:pPr>
        <w:widowControl/>
        <w:ind w:left="106" w:firstLineChars="200" w:firstLine="640"/>
        <w:jc w:val="left"/>
        <w:rPr>
          <w:rFonts w:ascii="仿宋_GB2312" w:eastAsia="仿宋_GB2312" w:cs="宋体"/>
          <w:kern w:val="0"/>
          <w:sz w:val="32"/>
          <w:szCs w:val="32"/>
        </w:rPr>
      </w:pPr>
      <w:r>
        <w:rPr>
          <w:rFonts w:ascii="仿宋_GB2312" w:eastAsia="仿宋_GB2312" w:cs="宋体" w:hint="eastAsia"/>
          <w:color w:val="000000"/>
          <w:kern w:val="0"/>
          <w:sz w:val="32"/>
          <w:szCs w:val="32"/>
        </w:rPr>
        <w:t>开发区在现有的制度基础上，加快开发区机制改革步伐，在开发区优化整合、管理机构、责任主体、市场化运营机制、人事和薪酬制度等方面积极谋划，坚持先行先试、分类指导、有序实施和精简、统一、效能的原则，推进开发区体制机制改革创新，加快建立管理科学、职能</w:t>
      </w:r>
      <w:r>
        <w:rPr>
          <w:rFonts w:ascii="仿宋_GB2312" w:eastAsia="仿宋_GB2312" w:cs="宋体" w:hint="eastAsia"/>
          <w:color w:val="000000"/>
          <w:kern w:val="0"/>
          <w:sz w:val="32"/>
          <w:szCs w:val="32"/>
        </w:rPr>
        <w:lastRenderedPageBreak/>
        <w:t>健全、运行高效的体制机制，促进开发区做大、做强、做优，打造对外开放的示范区、先进产业的聚集区、科技进步的先导区、体制创新的先行区、集约发展的核心区，为全区经济转型升级和科学发展、绿色崛起提供有力支撑。</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充分利用京津冀一体化的战略发展契机，积极开展以商引商方针，通过现有落</w:t>
      </w:r>
      <w:r>
        <w:rPr>
          <w:rFonts w:ascii="仿宋_GB2312" w:eastAsia="仿宋_GB2312" w:cs="宋体" w:hint="eastAsia"/>
          <w:color w:val="000000"/>
          <w:kern w:val="0"/>
          <w:sz w:val="32"/>
          <w:szCs w:val="32"/>
        </w:rPr>
        <w:t>地项目，开展招商引资活动，充分发挥现有已经落地项目的能力，目标定在落地项目的上下游企业及关联企业上下功夫，主动走访，提出诉求，全面合作。</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充分利用京津冀一体化的战略发展契机，积极开展以商引商方针，通过现有落地项目，开展招商引资活动，充分发挥现有已经落地项目的能力，目标定在落地项目的上下游企业及关联企业上下功夫，主动走访，提出诉求，全面合作。</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tbl>
      <w:tblPr>
        <w:tblW w:w="9750"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539"/>
        <w:gridCol w:w="834"/>
        <w:gridCol w:w="2042"/>
        <w:gridCol w:w="1919"/>
        <w:gridCol w:w="1208"/>
        <w:gridCol w:w="552"/>
        <w:gridCol w:w="552"/>
        <w:gridCol w:w="552"/>
        <w:gridCol w:w="552"/>
      </w:tblGrid>
      <w:tr w:rsidR="00152195">
        <w:trPr>
          <w:trHeight w:val="255"/>
          <w:tblHeader/>
          <w:tblCellSpacing w:w="0" w:type="dxa"/>
          <w:jc w:val="center"/>
        </w:trPr>
        <w:tc>
          <w:tcPr>
            <w:tcW w:w="12255" w:type="dxa"/>
            <w:gridSpan w:val="5"/>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690</w:t>
            </w:r>
            <w:r>
              <w:rPr>
                <w:rFonts w:ascii="仿宋_GB2312" w:eastAsia="仿宋_GB2312" w:cs="宋体" w:hint="eastAsia"/>
                <w:b/>
                <w:bCs/>
                <w:color w:val="000000"/>
                <w:kern w:val="0"/>
                <w:sz w:val="28"/>
                <w:szCs w:val="28"/>
              </w:rPr>
              <w:t>河北廊坊广阳经济开发区管理委员会</w:t>
            </w:r>
          </w:p>
        </w:tc>
        <w:tc>
          <w:tcPr>
            <w:tcW w:w="3300" w:type="dxa"/>
            <w:gridSpan w:val="4"/>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单位：万元</w:t>
            </w:r>
          </w:p>
        </w:tc>
      </w:tr>
      <w:tr w:rsidR="00152195">
        <w:trPr>
          <w:trHeight w:val="255"/>
          <w:tblHeader/>
          <w:tblCellSpacing w:w="0" w:type="dxa"/>
          <w:jc w:val="center"/>
        </w:trPr>
        <w:tc>
          <w:tcPr>
            <w:tcW w:w="2610" w:type="dxa"/>
            <w:vMerge w:val="restart"/>
            <w:tcBorders>
              <w:bottom w:val="outset" w:sz="6" w:space="0" w:color="auto"/>
            </w:tcBorders>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职责活动</w:t>
            </w:r>
          </w:p>
        </w:tc>
        <w:tc>
          <w:tcPr>
            <w:tcW w:w="1425" w:type="dxa"/>
            <w:vMerge w:val="restart"/>
            <w:tcBorders>
              <w:bottom w:val="outset" w:sz="6" w:space="0" w:color="auto"/>
            </w:tcBorders>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年度</w:t>
            </w:r>
            <w:r>
              <w:rPr>
                <w:rFonts w:ascii="仿宋_GB2312" w:eastAsia="仿宋_GB2312" w:cs="宋体" w:hint="eastAsia"/>
                <w:b/>
                <w:bCs/>
                <w:color w:val="000000"/>
                <w:kern w:val="0"/>
                <w:sz w:val="28"/>
                <w:szCs w:val="28"/>
              </w:rPr>
              <w:lastRenderedPageBreak/>
              <w:t>预算数</w:t>
            </w:r>
          </w:p>
        </w:tc>
        <w:tc>
          <w:tcPr>
            <w:tcW w:w="3315" w:type="dxa"/>
            <w:vMerge w:val="restart"/>
            <w:tcBorders>
              <w:bottom w:val="outset" w:sz="6" w:space="0" w:color="auto"/>
            </w:tcBorders>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lastRenderedPageBreak/>
              <w:t>内容描述</w:t>
            </w:r>
          </w:p>
        </w:tc>
        <w:tc>
          <w:tcPr>
            <w:tcW w:w="3315" w:type="dxa"/>
            <w:vMerge w:val="restart"/>
            <w:tcBorders>
              <w:bottom w:val="outset" w:sz="6" w:space="0" w:color="auto"/>
            </w:tcBorders>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绩效目标</w:t>
            </w:r>
          </w:p>
        </w:tc>
        <w:tc>
          <w:tcPr>
            <w:tcW w:w="1575" w:type="dxa"/>
            <w:vMerge w:val="restart"/>
            <w:tcBorders>
              <w:bottom w:val="outset" w:sz="6" w:space="0" w:color="auto"/>
            </w:tcBorders>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绩效指标</w:t>
            </w:r>
          </w:p>
        </w:tc>
        <w:tc>
          <w:tcPr>
            <w:tcW w:w="3300" w:type="dxa"/>
            <w:gridSpan w:val="4"/>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评价标准</w:t>
            </w:r>
          </w:p>
        </w:tc>
      </w:tr>
      <w:tr w:rsidR="00152195">
        <w:trPr>
          <w:trHeight w:val="255"/>
          <w:tblHeader/>
          <w:tblCellSpacing w:w="0" w:type="dxa"/>
          <w:jc w:val="center"/>
        </w:trPr>
        <w:tc>
          <w:tcPr>
            <w:tcW w:w="0" w:type="auto"/>
            <w:vMerge/>
            <w:vAlign w:val="center"/>
          </w:tcPr>
          <w:p w:rsidR="00152195" w:rsidRDefault="00152195"/>
        </w:tc>
        <w:tc>
          <w:tcPr>
            <w:tcW w:w="0" w:type="auto"/>
            <w:vMerge/>
            <w:vAlign w:val="center"/>
          </w:tcPr>
          <w:p w:rsidR="00152195" w:rsidRDefault="00152195"/>
        </w:tc>
        <w:tc>
          <w:tcPr>
            <w:tcW w:w="0" w:type="auto"/>
            <w:vMerge/>
            <w:vAlign w:val="center"/>
          </w:tcPr>
          <w:p w:rsidR="00152195" w:rsidRDefault="00152195"/>
        </w:tc>
        <w:tc>
          <w:tcPr>
            <w:tcW w:w="0" w:type="auto"/>
            <w:vMerge/>
            <w:vAlign w:val="center"/>
          </w:tcPr>
          <w:p w:rsidR="00152195" w:rsidRDefault="00152195"/>
        </w:tc>
        <w:tc>
          <w:tcPr>
            <w:tcW w:w="0" w:type="auto"/>
            <w:vMerge/>
            <w:vAlign w:val="center"/>
          </w:tcPr>
          <w:p w:rsidR="00152195" w:rsidRDefault="00152195"/>
        </w:tc>
        <w:tc>
          <w:tcPr>
            <w:tcW w:w="825" w:type="dxa"/>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优</w:t>
            </w:r>
          </w:p>
        </w:tc>
        <w:tc>
          <w:tcPr>
            <w:tcW w:w="825" w:type="dxa"/>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良</w:t>
            </w:r>
          </w:p>
        </w:tc>
        <w:tc>
          <w:tcPr>
            <w:tcW w:w="825" w:type="dxa"/>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中</w:t>
            </w:r>
          </w:p>
        </w:tc>
        <w:tc>
          <w:tcPr>
            <w:tcW w:w="825" w:type="dxa"/>
            <w:vAlign w:val="center"/>
          </w:tcPr>
          <w:p w:rsidR="00152195" w:rsidRDefault="00031B80">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差</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政务服务</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政务公开、督察督办、政务联络等工作。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突出政务、加强事务、提升服务，力求重点工作出精品，难点工作求突破、基础工作有创新、常规工作见特色。以机关干部作风量化指标为依据，增强了工作综合服务实力。</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政务公开</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承担开发区管委会政务公开暨行政权力公开透明运行工作领导小组的日常工作，指导和协调开发区管委会政务公开及政务服务中心建设、推进行政服务体系标准</w:t>
            </w:r>
            <w:r>
              <w:rPr>
                <w:rFonts w:ascii="仿宋_GB2312" w:eastAsia="仿宋_GB2312" w:cs="宋体" w:hint="eastAsia"/>
                <w:color w:val="000000"/>
                <w:kern w:val="0"/>
                <w:sz w:val="28"/>
                <w:szCs w:val="28"/>
              </w:rPr>
              <w:lastRenderedPageBreak/>
              <w:t>化建设工作。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通过完成管委会政务信息公开工作的指导监督工作，使管委会信息公开业务队伍素质不断提高，业务水平进一步提升；政府政务信息公开范围不</w:t>
            </w:r>
            <w:r>
              <w:rPr>
                <w:rFonts w:ascii="仿宋_GB2312" w:eastAsia="仿宋_GB2312" w:cs="宋体" w:hint="eastAsia"/>
                <w:color w:val="000000"/>
                <w:kern w:val="0"/>
                <w:sz w:val="28"/>
                <w:szCs w:val="28"/>
              </w:rPr>
              <w:lastRenderedPageBreak/>
              <w:t>断扩大，公开内容得到进一步细化。</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政务公开率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会议管理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开发区会议的准备和服务工作，协助管委会领导组织会议决定事项的落实。</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做好开发区会议保障；控制会议费开支规模。</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大型会议控制率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督查督办</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督促检查开发区各部门对管委会</w:t>
            </w:r>
            <w:r>
              <w:rPr>
                <w:rFonts w:ascii="仿宋_GB2312" w:eastAsia="仿宋_GB2312" w:cs="宋体" w:hint="eastAsia"/>
                <w:color w:val="000000"/>
                <w:kern w:val="0"/>
                <w:sz w:val="28"/>
                <w:szCs w:val="28"/>
              </w:rPr>
              <w:lastRenderedPageBreak/>
              <w:t>决定事项及政府领导重要指示的执行落实情况并跟踪调研，及时向领导报告。组织承办人大代表和政协提案工作。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确保管委会决定事项及管委</w:t>
            </w:r>
            <w:r>
              <w:rPr>
                <w:rFonts w:ascii="仿宋_GB2312" w:eastAsia="仿宋_GB2312" w:cs="宋体" w:hint="eastAsia"/>
                <w:color w:val="000000"/>
                <w:kern w:val="0"/>
                <w:sz w:val="28"/>
                <w:szCs w:val="28"/>
              </w:rPr>
              <w:lastRenderedPageBreak/>
              <w:t>会领导重要指示得到贯彻落实。</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决策部署督查反馈</w:t>
            </w:r>
            <w:r>
              <w:rPr>
                <w:rFonts w:ascii="仿宋_GB2312" w:eastAsia="仿宋_GB2312" w:cs="宋体" w:hint="eastAsia"/>
                <w:color w:val="000000"/>
                <w:kern w:val="0"/>
                <w:sz w:val="28"/>
                <w:szCs w:val="28"/>
              </w:rPr>
              <w:lastRenderedPageBreak/>
              <w:t>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政务联络</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负责开发区公务活动的接待安</w:t>
            </w:r>
            <w:r>
              <w:rPr>
                <w:rFonts w:ascii="仿宋_GB2312" w:eastAsia="仿宋_GB2312" w:cs="宋体" w:hint="eastAsia"/>
                <w:color w:val="000000"/>
                <w:kern w:val="0"/>
                <w:sz w:val="28"/>
                <w:szCs w:val="28"/>
              </w:rPr>
              <w:lastRenderedPageBreak/>
              <w:t>排。</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做好客商接待、对外招商的保</w:t>
            </w:r>
            <w:r>
              <w:rPr>
                <w:rFonts w:ascii="仿宋_GB2312" w:eastAsia="仿宋_GB2312" w:cs="宋体" w:hint="eastAsia"/>
                <w:color w:val="000000"/>
                <w:kern w:val="0"/>
                <w:sz w:val="28"/>
                <w:szCs w:val="28"/>
              </w:rPr>
              <w:lastRenderedPageBreak/>
              <w:t>障工作。</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重大活动联络服务</w:t>
            </w:r>
            <w:r>
              <w:rPr>
                <w:rFonts w:ascii="仿宋_GB2312" w:eastAsia="仿宋_GB2312" w:cs="宋体" w:hint="eastAsia"/>
                <w:color w:val="000000"/>
                <w:kern w:val="0"/>
                <w:sz w:val="28"/>
                <w:szCs w:val="28"/>
              </w:rPr>
              <w:lastRenderedPageBreak/>
              <w:t>工作完成率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政府办公室政务管理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公务办理、后勤保障工作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以服务领导和机关保障有力为目标，增强了优质后勤管理水平，通过加强公车管理，降低运行成本，为创建节约型机关</w:t>
            </w:r>
            <w:r>
              <w:rPr>
                <w:rFonts w:ascii="仿宋_GB2312" w:eastAsia="仿宋_GB2312" w:cs="宋体" w:hint="eastAsia"/>
                <w:color w:val="000000"/>
                <w:kern w:val="0"/>
                <w:sz w:val="28"/>
                <w:szCs w:val="28"/>
              </w:rPr>
              <w:lastRenderedPageBreak/>
              <w:t>打下了良好的基础。采取保障领导和机关工作办公环境的措施，提升了服务管理水平，保障了县领导和机关工作的正常运转。及时了解国内外形势、</w:t>
            </w:r>
            <w:r>
              <w:rPr>
                <w:rFonts w:ascii="仿宋_GB2312" w:eastAsia="仿宋_GB2312" w:cs="宋体" w:hint="eastAsia"/>
                <w:color w:val="000000"/>
                <w:kern w:val="0"/>
                <w:sz w:val="28"/>
                <w:szCs w:val="28"/>
              </w:rPr>
              <w:lastRenderedPageBreak/>
              <w:t>党和国家的方针政策</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综合业务管理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协助领导组织起草或审核的公文；组织起草领导重要讲话及其他重要文稿；组织专题调研；承办领导交办的其他事项。</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高质量审核公文；及时办理各类文电，确保事项在第一时间得到领导批示意见；高质量起草的领导重要讲话及重要文</w:t>
            </w:r>
            <w:r>
              <w:rPr>
                <w:rFonts w:ascii="仿宋_GB2312" w:eastAsia="仿宋_GB2312" w:cs="宋体" w:hint="eastAsia"/>
                <w:color w:val="000000"/>
                <w:kern w:val="0"/>
                <w:sz w:val="28"/>
                <w:szCs w:val="28"/>
              </w:rPr>
              <w:lastRenderedPageBreak/>
              <w:t>稿。</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综合业务工作完成率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环境监测与监察</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开展环境要素的监测与综合分析评价，提高环境监测和预警能力，提高自动站的建设、核应急监测，加大环境监管力度，完善环境基本公共服</w:t>
            </w:r>
            <w:r>
              <w:rPr>
                <w:rFonts w:ascii="仿宋_GB2312" w:eastAsia="仿宋_GB2312" w:cs="宋体" w:hint="eastAsia"/>
                <w:color w:val="000000"/>
                <w:kern w:val="0"/>
                <w:sz w:val="28"/>
                <w:szCs w:val="28"/>
              </w:rPr>
              <w:lastRenderedPageBreak/>
              <w:t>务体系建设。</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加强环境监测与监督</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Merge w:val="restart"/>
            <w:tcBorders>
              <w:bottom w:val="outset" w:sz="6" w:space="0" w:color="auto"/>
            </w:tcBorders>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环境监测与信息</w:t>
            </w:r>
          </w:p>
        </w:tc>
        <w:tc>
          <w:tcPr>
            <w:tcW w:w="1425" w:type="dxa"/>
            <w:vMerge w:val="restart"/>
            <w:tcBorders>
              <w:bottom w:val="outset" w:sz="6" w:space="0" w:color="auto"/>
            </w:tcBorders>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Merge w:val="restart"/>
            <w:tcBorders>
              <w:bottom w:val="outset" w:sz="6" w:space="0" w:color="auto"/>
            </w:tcBorders>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组织和实施开发区各项环境要素的监测与调查、预报预警、统计分析及评价。开展污染源监督监测、污染事故应急监测、污染纠纷监测，保障环</w:t>
            </w:r>
            <w:r>
              <w:rPr>
                <w:rFonts w:ascii="仿宋_GB2312" w:eastAsia="仿宋_GB2312" w:cs="宋体" w:hint="eastAsia"/>
                <w:color w:val="000000"/>
                <w:kern w:val="0"/>
                <w:sz w:val="28"/>
                <w:szCs w:val="28"/>
              </w:rPr>
              <w:lastRenderedPageBreak/>
              <w:t>境质量自动监测站（网）正常运行，进行环境信息系统建设，为环境管理提供技术支持。</w:t>
            </w:r>
          </w:p>
        </w:tc>
        <w:tc>
          <w:tcPr>
            <w:tcW w:w="3315" w:type="dxa"/>
            <w:vMerge w:val="restart"/>
            <w:tcBorders>
              <w:bottom w:val="outset" w:sz="6" w:space="0" w:color="auto"/>
            </w:tcBorders>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完成环境数据的综合分析、数据发布，环境质量预警等多项工作，预报污染事故，保证政府及时采取对策，降低或减少环境灾害。</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正常运转水站个数</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0" w:type="auto"/>
            <w:vMerge/>
            <w:vAlign w:val="center"/>
          </w:tcPr>
          <w:p w:rsidR="00152195" w:rsidRDefault="00152195"/>
        </w:tc>
        <w:tc>
          <w:tcPr>
            <w:tcW w:w="0" w:type="auto"/>
            <w:vMerge/>
            <w:vAlign w:val="center"/>
          </w:tcPr>
          <w:p w:rsidR="00152195" w:rsidRDefault="00152195"/>
        </w:tc>
        <w:tc>
          <w:tcPr>
            <w:tcW w:w="0" w:type="auto"/>
            <w:vMerge/>
            <w:vAlign w:val="center"/>
          </w:tcPr>
          <w:p w:rsidR="00152195" w:rsidRDefault="00152195"/>
        </w:tc>
        <w:tc>
          <w:tcPr>
            <w:tcW w:w="0" w:type="auto"/>
            <w:vMerge/>
            <w:vAlign w:val="center"/>
          </w:tcPr>
          <w:p w:rsidR="00152195" w:rsidRDefault="00152195"/>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空气自动监测站正常运行率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环境监察与督查</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加强环境行政监察，开展开发区网格化环境监管、环境违法案</w:t>
            </w:r>
            <w:r>
              <w:rPr>
                <w:rFonts w:ascii="仿宋_GB2312" w:eastAsia="仿宋_GB2312" w:cs="宋体" w:hint="eastAsia"/>
                <w:color w:val="000000"/>
                <w:kern w:val="0"/>
                <w:sz w:val="28"/>
                <w:szCs w:val="28"/>
              </w:rPr>
              <w:lastRenderedPageBreak/>
              <w:t>件现场调查处理、污染纠纷调查处理，开发区打击环境违法行为专项行动，以及生态和农村环境执法监察；加强环境行政执法后督察。</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加强开发区环境整体质量改进，确保不发生环境安全事故。</w:t>
            </w:r>
            <w:r>
              <w:rPr>
                <w:rFonts w:ascii="仿宋_GB2312" w:eastAsia="仿宋_GB2312" w:cs="宋体" w:hint="eastAsia"/>
                <w:color w:val="000000"/>
                <w:kern w:val="0"/>
                <w:sz w:val="28"/>
                <w:szCs w:val="28"/>
              </w:rPr>
              <w:lastRenderedPageBreak/>
              <w:t>加强环境行政监察，排污费管理、纠纷调查处理。</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组织环境监察培训期数</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环境安</w:t>
            </w:r>
            <w:r>
              <w:rPr>
                <w:rFonts w:ascii="仿宋_GB2312" w:eastAsia="仿宋_GB2312" w:cs="宋体" w:hint="eastAsia"/>
                <w:b/>
                <w:bCs/>
                <w:color w:val="000000"/>
                <w:kern w:val="0"/>
                <w:sz w:val="28"/>
                <w:szCs w:val="28"/>
              </w:rPr>
              <w:lastRenderedPageBreak/>
              <w:t>全与应急处置</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应对突发性环境</w:t>
            </w:r>
            <w:r>
              <w:rPr>
                <w:rFonts w:ascii="仿宋_GB2312" w:eastAsia="仿宋_GB2312" w:cs="宋体" w:hint="eastAsia"/>
                <w:color w:val="000000"/>
                <w:kern w:val="0"/>
                <w:sz w:val="28"/>
                <w:szCs w:val="28"/>
              </w:rPr>
              <w:lastRenderedPageBreak/>
              <w:t>污染事故。</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保障环境保护</w:t>
            </w:r>
            <w:r>
              <w:rPr>
                <w:rFonts w:ascii="仿宋_GB2312" w:eastAsia="仿宋_GB2312" w:cs="宋体" w:hint="eastAsia"/>
                <w:color w:val="000000"/>
                <w:kern w:val="0"/>
                <w:sz w:val="28"/>
                <w:szCs w:val="28"/>
              </w:rPr>
              <w:lastRenderedPageBreak/>
              <w:t>规划、政策、法律法规、标准的执行，应对突发环境事件。</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应急演练</w:t>
            </w:r>
            <w:r>
              <w:rPr>
                <w:rFonts w:ascii="仿宋_GB2312" w:eastAsia="仿宋_GB2312" w:cs="宋体" w:hint="eastAsia"/>
                <w:color w:val="000000"/>
                <w:kern w:val="0"/>
                <w:sz w:val="28"/>
                <w:szCs w:val="28"/>
              </w:rPr>
              <w:lastRenderedPageBreak/>
              <w:t>次数</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大气污染防治</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加强大气污染防治，加强固体废弃物、重金属等重点污染治理工程的防治工作。重点对</w:t>
            </w:r>
            <w:r>
              <w:rPr>
                <w:rFonts w:ascii="仿宋_GB2312" w:eastAsia="仿宋_GB2312" w:cs="宋体" w:hint="eastAsia"/>
                <w:color w:val="000000"/>
                <w:kern w:val="0"/>
                <w:sz w:val="28"/>
                <w:szCs w:val="28"/>
              </w:rPr>
              <w:t>PM</w:t>
            </w:r>
            <w:r>
              <w:rPr>
                <w:rFonts w:ascii="仿宋_GB2312" w:eastAsia="仿宋_GB2312" w:cs="宋体" w:hint="eastAsia"/>
                <w:color w:val="000000"/>
                <w:kern w:val="0"/>
                <w:sz w:val="28"/>
                <w:szCs w:val="28"/>
              </w:rPr>
              <w:t>、</w:t>
            </w:r>
            <w:r>
              <w:rPr>
                <w:rFonts w:ascii="仿宋_GB2312" w:eastAsia="仿宋_GB2312" w:cs="宋体" w:hint="eastAsia"/>
                <w:color w:val="000000"/>
                <w:kern w:val="0"/>
                <w:sz w:val="28"/>
                <w:szCs w:val="28"/>
              </w:rPr>
              <w:lastRenderedPageBreak/>
              <w:t>VOC</w:t>
            </w:r>
            <w:r>
              <w:rPr>
                <w:rFonts w:ascii="仿宋_GB2312" w:eastAsia="仿宋_GB2312" w:cs="宋体" w:hint="eastAsia"/>
                <w:color w:val="000000"/>
                <w:kern w:val="0"/>
                <w:sz w:val="28"/>
                <w:szCs w:val="28"/>
              </w:rPr>
              <w:t>、二氧化硫等大气污染物进行综合防治，推动城市环境空气质量改善。</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加强大气污染防治，推动城市环境空气质量改善。</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PM2.5</w:t>
            </w:r>
            <w:r>
              <w:rPr>
                <w:rFonts w:ascii="仿宋_GB2312" w:eastAsia="仿宋_GB2312" w:cs="宋体" w:hint="eastAsia"/>
                <w:color w:val="000000"/>
                <w:kern w:val="0"/>
                <w:sz w:val="28"/>
                <w:szCs w:val="28"/>
              </w:rPr>
              <w:t>削减率、</w:t>
            </w:r>
            <w:r>
              <w:rPr>
                <w:rFonts w:ascii="仿宋_GB2312" w:eastAsia="仿宋_GB2312" w:cs="宋体" w:hint="eastAsia"/>
                <w:color w:val="000000"/>
                <w:kern w:val="0"/>
                <w:sz w:val="28"/>
                <w:szCs w:val="28"/>
              </w:rPr>
              <w:t>VOC</w:t>
            </w:r>
            <w:r>
              <w:rPr>
                <w:rFonts w:ascii="仿宋_GB2312" w:eastAsia="仿宋_GB2312" w:cs="宋体" w:hint="eastAsia"/>
                <w:color w:val="000000"/>
                <w:kern w:val="0"/>
                <w:sz w:val="28"/>
                <w:szCs w:val="28"/>
              </w:rPr>
              <w:t>排放消减率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重点污染治理工程</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加强对影响开发区环境质量的重点污染物排放进行防治，引导促进全县环境保护</w:t>
            </w:r>
            <w:r>
              <w:rPr>
                <w:rFonts w:ascii="仿宋_GB2312" w:eastAsia="仿宋_GB2312" w:cs="宋体" w:hint="eastAsia"/>
                <w:color w:val="000000"/>
                <w:kern w:val="0"/>
                <w:sz w:val="28"/>
                <w:szCs w:val="28"/>
              </w:rPr>
              <w:lastRenderedPageBreak/>
              <w:t>污染减排工程建设，推动污染综合防治活动开展。</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推动污染防治工作开展，改善开发区环境质量。开展开发区产能过剩行业</w:t>
            </w:r>
            <w:r>
              <w:rPr>
                <w:rFonts w:ascii="仿宋_GB2312" w:eastAsia="仿宋_GB2312" w:cs="宋体" w:hint="eastAsia"/>
                <w:color w:val="000000"/>
                <w:kern w:val="0"/>
                <w:sz w:val="28"/>
                <w:szCs w:val="28"/>
              </w:rPr>
              <w:lastRenderedPageBreak/>
              <w:t>环保认定、备案核查工作。实现主要污染物排放总量控制</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产能过剩行业环保认定、备案核查完成率</w:t>
            </w:r>
            <w:r>
              <w:rPr>
                <w:rFonts w:ascii="仿宋_GB2312" w:eastAsia="仿宋_GB2312" w:cs="宋体" w:hint="eastAsia"/>
                <w:color w:val="000000"/>
                <w:kern w:val="0"/>
                <w:sz w:val="28"/>
                <w:szCs w:val="28"/>
              </w:rPr>
              <w:t>;4</w:t>
            </w:r>
            <w:r>
              <w:rPr>
                <w:rFonts w:ascii="仿宋_GB2312" w:eastAsia="仿宋_GB2312" w:cs="宋体" w:hint="eastAsia"/>
                <w:color w:val="000000"/>
                <w:kern w:val="0"/>
                <w:sz w:val="28"/>
                <w:szCs w:val="28"/>
              </w:rPr>
              <w:t>类</w:t>
            </w:r>
            <w:r>
              <w:rPr>
                <w:rFonts w:ascii="仿宋_GB2312" w:eastAsia="仿宋_GB2312" w:cs="宋体" w:hint="eastAsia"/>
                <w:color w:val="000000"/>
                <w:kern w:val="0"/>
                <w:sz w:val="28"/>
                <w:szCs w:val="28"/>
              </w:rPr>
              <w:lastRenderedPageBreak/>
              <w:t>主要污染物年度减排完成率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污染源自动监控系统及信息化建设</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搜集、存储、加工和传输开发区环境质量状况、主要污染物排放情况、环境管理等重要信息。开</w:t>
            </w:r>
            <w:r>
              <w:rPr>
                <w:rFonts w:ascii="仿宋_GB2312" w:eastAsia="仿宋_GB2312" w:cs="宋体" w:hint="eastAsia"/>
                <w:color w:val="000000"/>
                <w:kern w:val="0"/>
                <w:sz w:val="28"/>
                <w:szCs w:val="28"/>
              </w:rPr>
              <w:lastRenderedPageBreak/>
              <w:t>发区重点污染源在线监控工作。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提升环境信息化水平搜集、存储、加工和传输开发区环境质量状况、主要污染物排放情况、</w:t>
            </w:r>
            <w:r>
              <w:rPr>
                <w:rFonts w:ascii="仿宋_GB2312" w:eastAsia="仿宋_GB2312" w:cs="宋体" w:hint="eastAsia"/>
                <w:color w:val="000000"/>
                <w:kern w:val="0"/>
                <w:sz w:val="28"/>
                <w:szCs w:val="28"/>
              </w:rPr>
              <w:lastRenderedPageBreak/>
              <w:t>自然生态保护、环境管理等重要信息。开发区重点污染源在线监控工作。开发区环境信息网络的建设和维护</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污染源自动监控网络正常使用率、自动监控数据传输有</w:t>
            </w:r>
            <w:r>
              <w:rPr>
                <w:rFonts w:ascii="仿宋_GB2312" w:eastAsia="仿宋_GB2312" w:cs="宋体" w:hint="eastAsia"/>
                <w:color w:val="000000"/>
                <w:kern w:val="0"/>
                <w:sz w:val="28"/>
                <w:szCs w:val="28"/>
              </w:rPr>
              <w:lastRenderedPageBreak/>
              <w:t>效率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组织安全生产综合监督</w:t>
            </w:r>
            <w:r>
              <w:rPr>
                <w:rFonts w:ascii="仿宋_GB2312" w:eastAsia="仿宋_GB2312" w:cs="宋体" w:hint="eastAsia"/>
                <w:b/>
                <w:bCs/>
                <w:color w:val="000000"/>
                <w:kern w:val="0"/>
                <w:sz w:val="28"/>
                <w:szCs w:val="28"/>
              </w:rPr>
              <w:lastRenderedPageBreak/>
              <w:t>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承担开发区安全生产综合监督管</w:t>
            </w:r>
            <w:r>
              <w:rPr>
                <w:rFonts w:ascii="仿宋_GB2312" w:eastAsia="仿宋_GB2312" w:cs="宋体" w:hint="eastAsia"/>
                <w:color w:val="000000"/>
                <w:kern w:val="0"/>
                <w:sz w:val="28"/>
                <w:szCs w:val="28"/>
              </w:rPr>
              <w:lastRenderedPageBreak/>
              <w:t>理责任，遏制重特大事故发生，确保全县安全生产形势稳定好转。</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定期组织在开发区开展安全</w:t>
            </w:r>
            <w:r>
              <w:rPr>
                <w:rFonts w:ascii="仿宋_GB2312" w:eastAsia="仿宋_GB2312" w:cs="宋体" w:hint="eastAsia"/>
                <w:color w:val="000000"/>
                <w:kern w:val="0"/>
                <w:sz w:val="28"/>
                <w:szCs w:val="28"/>
              </w:rPr>
              <w:lastRenderedPageBreak/>
              <w:t>生产督导检查活动，对重点行业和作业场所职业卫生安全生产加强行政监督监察，依法对违法行为实施行政处罚；不断加强安全生产监管能力建</w:t>
            </w:r>
            <w:r>
              <w:rPr>
                <w:rFonts w:ascii="仿宋_GB2312" w:eastAsia="仿宋_GB2312" w:cs="宋体" w:hint="eastAsia"/>
                <w:color w:val="000000"/>
                <w:kern w:val="0"/>
                <w:sz w:val="28"/>
                <w:szCs w:val="28"/>
              </w:rPr>
              <w:lastRenderedPageBreak/>
              <w:t>设，改善执法检测、监察检查等能力。组织调查处理职业危害事故和违法违规行为；完成国家和省、市确定的建材、医药加工行业以及重点行业的专项</w:t>
            </w:r>
            <w:r>
              <w:rPr>
                <w:rFonts w:ascii="仿宋_GB2312" w:eastAsia="仿宋_GB2312" w:cs="宋体" w:hint="eastAsia"/>
                <w:color w:val="000000"/>
                <w:kern w:val="0"/>
                <w:sz w:val="28"/>
                <w:szCs w:val="28"/>
              </w:rPr>
              <w:lastRenderedPageBreak/>
              <w:t>治理，组织查处用人单位职业病危害事故。</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加强安全生产监察检查</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定期组织在开发区企业开展安全生产督导检查活动，对重点行业和作业场所职业卫生安全生产进行督导检查，加</w:t>
            </w:r>
            <w:r>
              <w:rPr>
                <w:rFonts w:ascii="仿宋_GB2312" w:eastAsia="仿宋_GB2312" w:cs="宋体" w:hint="eastAsia"/>
                <w:color w:val="000000"/>
                <w:kern w:val="0"/>
                <w:sz w:val="28"/>
                <w:szCs w:val="28"/>
              </w:rPr>
              <w:lastRenderedPageBreak/>
              <w:t>强安全生产管理。</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通过督导检查域内企业安全生产，最大限度地发现、纠正、督促企业消除各类隐患，预防和减少事故的</w:t>
            </w:r>
            <w:r>
              <w:rPr>
                <w:rFonts w:ascii="仿宋_GB2312" w:eastAsia="仿宋_GB2312" w:cs="宋体" w:hint="eastAsia"/>
                <w:color w:val="000000"/>
                <w:kern w:val="0"/>
                <w:sz w:val="28"/>
                <w:szCs w:val="28"/>
              </w:rPr>
              <w:lastRenderedPageBreak/>
              <w:t>发生，确保开发区安全生产形势持续稳定好转</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检查覆盖率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加强重大危险源安全管理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加强重大危险源的监测、监控、辨识与评估及登记建档、备案与核销等安全管理；开展重大危</w:t>
            </w:r>
            <w:r>
              <w:rPr>
                <w:rFonts w:ascii="仿宋_GB2312" w:eastAsia="仿宋_GB2312" w:cs="宋体" w:hint="eastAsia"/>
                <w:color w:val="000000"/>
                <w:kern w:val="0"/>
                <w:sz w:val="28"/>
                <w:szCs w:val="28"/>
              </w:rPr>
              <w:lastRenderedPageBreak/>
              <w:t>险源监督检查工作。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科学准确进行重大危险源等级界定；督促企业切实加强危险源监控，有效治理隐患，落实</w:t>
            </w:r>
            <w:r>
              <w:rPr>
                <w:rFonts w:ascii="仿宋_GB2312" w:eastAsia="仿宋_GB2312" w:cs="宋体" w:hint="eastAsia"/>
                <w:color w:val="000000"/>
                <w:kern w:val="0"/>
                <w:sz w:val="28"/>
                <w:szCs w:val="28"/>
              </w:rPr>
              <w:lastRenderedPageBreak/>
              <w:t>监管责任</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专项检查次数不少于</w:t>
            </w:r>
            <w:r>
              <w:rPr>
                <w:rFonts w:ascii="仿宋_GB2312" w:eastAsia="仿宋_GB2312" w:cs="宋体" w:hint="eastAsia"/>
                <w:color w:val="000000"/>
                <w:kern w:val="0"/>
                <w:sz w:val="28"/>
                <w:szCs w:val="28"/>
              </w:rPr>
              <w:t>10</w:t>
            </w:r>
            <w:r>
              <w:rPr>
                <w:rFonts w:ascii="仿宋_GB2312" w:eastAsia="仿宋_GB2312" w:cs="宋体" w:hint="eastAsia"/>
                <w:color w:val="000000"/>
                <w:kern w:val="0"/>
                <w:sz w:val="28"/>
                <w:szCs w:val="28"/>
              </w:rPr>
              <w:t>次，并对所有企业进行监管</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构建和完善安全生产监管体系</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建设开发区隐患排查治理信息系统平台；加强开发区安全生产技术服务管理；组织开展安全生产事故专项调查；审核提出安全生</w:t>
            </w:r>
            <w:r>
              <w:rPr>
                <w:rFonts w:ascii="仿宋_GB2312" w:eastAsia="仿宋_GB2312" w:cs="宋体" w:hint="eastAsia"/>
                <w:color w:val="000000"/>
                <w:kern w:val="0"/>
                <w:sz w:val="28"/>
                <w:szCs w:val="28"/>
              </w:rPr>
              <w:lastRenderedPageBreak/>
              <w:t>产举报奖励意见；开展安全生产宣传教育活动，定期向社会公布安全生产重大事项情况；组织开发区安全生产目标管理及考核工作；促进企业全面落实安全</w:t>
            </w:r>
            <w:r>
              <w:rPr>
                <w:rFonts w:ascii="仿宋_GB2312" w:eastAsia="仿宋_GB2312" w:cs="宋体" w:hint="eastAsia"/>
                <w:color w:val="000000"/>
                <w:kern w:val="0"/>
                <w:sz w:val="28"/>
                <w:szCs w:val="28"/>
              </w:rPr>
              <w:lastRenderedPageBreak/>
              <w:t>生产诚信管理。</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基本建成全县安全生产隐患排查治理体系</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信息平台功能实现率、安全生产标准化达标率、专项抽查覆盖率、目标</w:t>
            </w:r>
            <w:r>
              <w:rPr>
                <w:rFonts w:ascii="仿宋_GB2312" w:eastAsia="仿宋_GB2312" w:cs="宋体" w:hint="eastAsia"/>
                <w:color w:val="000000"/>
                <w:kern w:val="0"/>
                <w:sz w:val="28"/>
                <w:szCs w:val="28"/>
              </w:rPr>
              <w:lastRenderedPageBreak/>
              <w:t>考核次数等</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重点行业安全生产监管</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依法监督检查工矿商贸生产经营单位贯彻执行安全生产法律法规情况；负责危险化学品安全监督管理综合工作和烟花爆竹安全生产监督管理工</w:t>
            </w:r>
            <w:r>
              <w:rPr>
                <w:rFonts w:ascii="仿宋_GB2312" w:eastAsia="仿宋_GB2312" w:cs="宋体" w:hint="eastAsia"/>
                <w:color w:val="000000"/>
                <w:kern w:val="0"/>
                <w:sz w:val="28"/>
                <w:szCs w:val="28"/>
              </w:rPr>
              <w:lastRenderedPageBreak/>
              <w:t>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依法对危险化学品和烟花爆竹生产企业、非药品易制毒企业、箱包、制鞋企业实施监督管理；对高危行业企业负责人、安全管理人员</w:t>
            </w:r>
            <w:r>
              <w:rPr>
                <w:rFonts w:ascii="仿宋_GB2312" w:eastAsia="仿宋_GB2312" w:cs="宋体" w:hint="eastAsia"/>
                <w:color w:val="000000"/>
                <w:kern w:val="0"/>
                <w:sz w:val="28"/>
                <w:szCs w:val="28"/>
              </w:rPr>
              <w:lastRenderedPageBreak/>
              <w:t>安全资格及特种作业人员操作证进行验印管理；对重点行业企业开展安全生产监督和专项整治活动；加强高危行业建设项目安全条件、安全设施</w:t>
            </w:r>
            <w:r>
              <w:rPr>
                <w:rFonts w:ascii="仿宋_GB2312" w:eastAsia="仿宋_GB2312" w:cs="宋体" w:hint="eastAsia"/>
                <w:color w:val="000000"/>
                <w:kern w:val="0"/>
                <w:sz w:val="28"/>
                <w:szCs w:val="28"/>
              </w:rPr>
              <w:lastRenderedPageBreak/>
              <w:t>设计、职业病防护设施设计审查和竣工验收管理。</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加强高危重点行业、商贸及金属非金属矿山安全生产监管</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依法对危险化学品和烟花爆竹生产企业、非药品易制毒企业、箱包、制鞋企业监督许可管理；对</w:t>
            </w:r>
            <w:r>
              <w:rPr>
                <w:rFonts w:ascii="仿宋_GB2312" w:eastAsia="仿宋_GB2312" w:cs="宋体" w:hint="eastAsia"/>
                <w:color w:val="000000"/>
                <w:kern w:val="0"/>
                <w:sz w:val="28"/>
                <w:szCs w:val="28"/>
              </w:rPr>
              <w:lastRenderedPageBreak/>
              <w:t>高危行业企业负责人、安全管理人员安全资格及特种作业人员操作证进行验印审批；对重点行业企业开展安全生产监督和专项整治活动；加强高危行业建设项目</w:t>
            </w:r>
            <w:r>
              <w:rPr>
                <w:rFonts w:ascii="仿宋_GB2312" w:eastAsia="仿宋_GB2312" w:cs="宋体" w:hint="eastAsia"/>
                <w:color w:val="000000"/>
                <w:kern w:val="0"/>
                <w:sz w:val="28"/>
                <w:szCs w:val="28"/>
              </w:rPr>
              <w:lastRenderedPageBreak/>
              <w:t>安全条件、安全设施设计、职业病防护设施设计审查和竣工验收管理。</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严格审查企业的安全生产条件，从源头把好企业准入关，消除事故隐患，提升企业安全管</w:t>
            </w:r>
            <w:r>
              <w:rPr>
                <w:rFonts w:ascii="仿宋_GB2312" w:eastAsia="仿宋_GB2312" w:cs="宋体" w:hint="eastAsia"/>
                <w:color w:val="000000"/>
                <w:kern w:val="0"/>
                <w:sz w:val="28"/>
                <w:szCs w:val="28"/>
              </w:rPr>
              <w:lastRenderedPageBreak/>
              <w:t>理水平，确保开发区安全生产形势稳定</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排查高危生产经营企业（家）安全隐患企业数量</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组织指挥和协调全县安全生产应急救援</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安全生产指导预案编制和备案管理，组织应急救援演练，组织协调开发区安全生</w:t>
            </w:r>
            <w:r>
              <w:rPr>
                <w:rFonts w:ascii="仿宋_GB2312" w:eastAsia="仿宋_GB2312" w:cs="宋体" w:hint="eastAsia"/>
                <w:color w:val="000000"/>
                <w:kern w:val="0"/>
                <w:sz w:val="28"/>
                <w:szCs w:val="28"/>
              </w:rPr>
              <w:lastRenderedPageBreak/>
              <w:t>产救援工作。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组织指导开发区安全生产应急救援预案编制和备案管理，组织开展实战</w:t>
            </w:r>
            <w:r>
              <w:rPr>
                <w:rFonts w:ascii="仿宋_GB2312" w:eastAsia="仿宋_GB2312" w:cs="宋体" w:hint="eastAsia"/>
                <w:color w:val="000000"/>
                <w:kern w:val="0"/>
                <w:sz w:val="28"/>
                <w:szCs w:val="28"/>
              </w:rPr>
              <w:lastRenderedPageBreak/>
              <w:t>化应急演练。加强应急救援队伍、装备和信息系统建设，完善安全生产应急平台，提高开发区应急救援协调指挥能力和应急处置能力；启动应急预案，</w:t>
            </w:r>
            <w:r>
              <w:rPr>
                <w:rFonts w:ascii="仿宋_GB2312" w:eastAsia="仿宋_GB2312" w:cs="宋体" w:hint="eastAsia"/>
                <w:color w:val="000000"/>
                <w:kern w:val="0"/>
                <w:sz w:val="28"/>
                <w:szCs w:val="28"/>
              </w:rPr>
              <w:lastRenderedPageBreak/>
              <w:t>组织协调救援力量、装备、专家参与救援，制定救援方案，科学施救，保障救援工作顺利进行</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组织应急预案编制及应急演练</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组织指导开发区安全生产应急救援预案编制和备</w:t>
            </w:r>
            <w:r>
              <w:rPr>
                <w:rFonts w:ascii="仿宋_GB2312" w:eastAsia="仿宋_GB2312" w:cs="宋体" w:hint="eastAsia"/>
                <w:color w:val="000000"/>
                <w:kern w:val="0"/>
                <w:sz w:val="28"/>
                <w:szCs w:val="28"/>
              </w:rPr>
              <w:lastRenderedPageBreak/>
              <w:t>案管理，结合事故多发、易发，应急管理基础薄弱的企业</w:t>
            </w:r>
            <w:r>
              <w:rPr>
                <w:rFonts w:ascii="仿宋_GB2312" w:eastAsia="仿宋_GB2312" w:cs="宋体" w:hint="eastAsia"/>
                <w:color w:val="000000"/>
                <w:kern w:val="0"/>
                <w:sz w:val="28"/>
                <w:szCs w:val="28"/>
              </w:rPr>
              <w:t>，组织开展实战化应急演练。</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加强应急预案的管理与实施，及时组织锻炼</w:t>
            </w:r>
            <w:r>
              <w:rPr>
                <w:rFonts w:ascii="仿宋_GB2312" w:eastAsia="仿宋_GB2312" w:cs="宋体" w:hint="eastAsia"/>
                <w:color w:val="000000"/>
                <w:kern w:val="0"/>
                <w:sz w:val="28"/>
                <w:szCs w:val="28"/>
              </w:rPr>
              <w:lastRenderedPageBreak/>
              <w:t>应急救援队伍，切实提升应急处置能力。</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应急预案演练完成率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加强应急救援体系建设</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加强应急救援队伍、装备和信息系统建设，完善安全生产应急平</w:t>
            </w:r>
            <w:r>
              <w:rPr>
                <w:rFonts w:ascii="仿宋_GB2312" w:eastAsia="仿宋_GB2312" w:cs="宋体" w:hint="eastAsia"/>
                <w:color w:val="000000"/>
                <w:kern w:val="0"/>
                <w:sz w:val="28"/>
                <w:szCs w:val="28"/>
              </w:rPr>
              <w:lastRenderedPageBreak/>
              <w:t>台，提高开发区应急救援协调指挥能力和应急处置能力；加强指挥机构管理和专业应急救援队伍训练，统一规划安全生产应急平台信息化建设和救援通信、信息</w:t>
            </w:r>
            <w:r>
              <w:rPr>
                <w:rFonts w:ascii="仿宋_GB2312" w:eastAsia="仿宋_GB2312" w:cs="宋体" w:hint="eastAsia"/>
                <w:color w:val="000000"/>
                <w:kern w:val="0"/>
                <w:sz w:val="28"/>
                <w:szCs w:val="28"/>
              </w:rPr>
              <w:lastRenderedPageBreak/>
              <w:t>网络运行保障，及时进行重大危险源预警、技术监控工作，发布预警信息。</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理顺应急救援工作机制，推动应急救援指挥中心和应急平</w:t>
            </w:r>
            <w:r>
              <w:rPr>
                <w:rFonts w:ascii="仿宋_GB2312" w:eastAsia="仿宋_GB2312" w:cs="宋体" w:hint="eastAsia"/>
                <w:color w:val="000000"/>
                <w:kern w:val="0"/>
                <w:sz w:val="28"/>
                <w:szCs w:val="28"/>
              </w:rPr>
              <w:lastRenderedPageBreak/>
              <w:t>台建设，提高突发事件的应急救援能力，保证政府及时采取应对措施，避免或降低事故及其危害程度。</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应急基地演练完成次数</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组织实施应急处置与救援</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启动应急预案，组织协调救援力量、装备、专家参与救援，制定救援方案，科学</w:t>
            </w:r>
            <w:r>
              <w:rPr>
                <w:rFonts w:ascii="仿宋_GB2312" w:eastAsia="仿宋_GB2312" w:cs="宋体" w:hint="eastAsia"/>
                <w:color w:val="000000"/>
                <w:kern w:val="0"/>
                <w:sz w:val="28"/>
                <w:szCs w:val="28"/>
              </w:rPr>
              <w:lastRenderedPageBreak/>
              <w:t>施救，保障救援工作顺利进行</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增强组织协调能力，提高应急救援效果。</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应急救援任务完成比例</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对内商贸管理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组织实施流通网络工程；推进流通产业结构调整，推动流通标准化和现代流通方式的发展</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完成任务分解、资金安排等相关工作</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电子商务建设</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支持电子商务园区建设</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提升服务管理能力；提高电子</w:t>
            </w:r>
            <w:r>
              <w:rPr>
                <w:rFonts w:ascii="仿宋_GB2312" w:eastAsia="仿宋_GB2312" w:cs="宋体" w:hint="eastAsia"/>
                <w:color w:val="000000"/>
                <w:kern w:val="0"/>
                <w:sz w:val="28"/>
                <w:szCs w:val="28"/>
              </w:rPr>
              <w:lastRenderedPageBreak/>
              <w:t>商务执业人员素质</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提升服务管理能</w:t>
            </w:r>
            <w:r>
              <w:rPr>
                <w:rFonts w:ascii="仿宋_GB2312" w:eastAsia="仿宋_GB2312" w:cs="宋体" w:hint="eastAsia"/>
                <w:color w:val="000000"/>
                <w:kern w:val="0"/>
                <w:sz w:val="28"/>
                <w:szCs w:val="28"/>
              </w:rPr>
              <w:lastRenderedPageBreak/>
              <w:t>力；提高电子商务执业人员素质</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加强重大危险源安全管理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加强重大危险源的监测、监控、辨识与评估及登记建档、备案与核销等安全管理；开展重大危</w:t>
            </w:r>
            <w:r>
              <w:rPr>
                <w:rFonts w:ascii="仿宋_GB2312" w:eastAsia="仿宋_GB2312" w:cs="宋体" w:hint="eastAsia"/>
                <w:color w:val="000000"/>
                <w:kern w:val="0"/>
                <w:sz w:val="28"/>
                <w:szCs w:val="28"/>
              </w:rPr>
              <w:lastRenderedPageBreak/>
              <w:t>险源监督检查工作。</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科学准确进行重大危险源等级界定；督促企业切实加强危险源监控，有效治理隐患，落实</w:t>
            </w:r>
            <w:r>
              <w:rPr>
                <w:rFonts w:ascii="仿宋_GB2312" w:eastAsia="仿宋_GB2312" w:cs="宋体" w:hint="eastAsia"/>
                <w:color w:val="000000"/>
                <w:kern w:val="0"/>
                <w:sz w:val="28"/>
                <w:szCs w:val="28"/>
              </w:rPr>
              <w:lastRenderedPageBreak/>
              <w:t>监管责任</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专项检查次数不少于</w:t>
            </w:r>
            <w:r>
              <w:rPr>
                <w:rFonts w:ascii="仿宋_GB2312" w:eastAsia="仿宋_GB2312" w:cs="宋体" w:hint="eastAsia"/>
                <w:color w:val="000000"/>
                <w:kern w:val="0"/>
                <w:sz w:val="28"/>
                <w:szCs w:val="28"/>
              </w:rPr>
              <w:t>10</w:t>
            </w:r>
            <w:r>
              <w:rPr>
                <w:rFonts w:ascii="仿宋_GB2312" w:eastAsia="仿宋_GB2312" w:cs="宋体" w:hint="eastAsia"/>
                <w:color w:val="000000"/>
                <w:kern w:val="0"/>
                <w:sz w:val="28"/>
                <w:szCs w:val="28"/>
              </w:rPr>
              <w:t>次，并对所有企业进行监管</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对外贸易管理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促进对外贸易稳定增长，优化产品结构。完成县政府下达的外贸进出口指标。</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促进对外贸易稳定增长，优化产品结构。完成县政府下达的外贸进出口指标。</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招商引资</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组织实施投资贸易洽谈会等活</w:t>
            </w:r>
            <w:r>
              <w:rPr>
                <w:rFonts w:ascii="仿宋_GB2312" w:eastAsia="仿宋_GB2312" w:cs="宋体" w:hint="eastAsia"/>
                <w:color w:val="000000"/>
                <w:kern w:val="0"/>
                <w:sz w:val="28"/>
                <w:szCs w:val="28"/>
              </w:rPr>
              <w:lastRenderedPageBreak/>
              <w:t>动。组织县级企业走出去，开展贸易洽谈、招商合作等活动，促进贸易往来。</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通过开展“主体招商活动”，瞄</w:t>
            </w:r>
            <w:r>
              <w:rPr>
                <w:rFonts w:ascii="仿宋_GB2312" w:eastAsia="仿宋_GB2312" w:cs="宋体" w:hint="eastAsia"/>
                <w:color w:val="000000"/>
                <w:kern w:val="0"/>
                <w:sz w:val="28"/>
                <w:szCs w:val="28"/>
              </w:rPr>
              <w:lastRenderedPageBreak/>
              <w:t>准重点区域、重点客商和商务机构，推动和引领全县做好招商工作。突出引进战略投资者，力争在重点产业引进一批战略支撑项目、龙头企业和协力</w:t>
            </w:r>
            <w:r>
              <w:rPr>
                <w:rFonts w:ascii="仿宋_GB2312" w:eastAsia="仿宋_GB2312" w:cs="宋体" w:hint="eastAsia"/>
                <w:color w:val="000000"/>
                <w:kern w:val="0"/>
                <w:sz w:val="28"/>
                <w:szCs w:val="28"/>
              </w:rPr>
              <w:lastRenderedPageBreak/>
              <w:t>配套企业</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举办活动数量、到</w:t>
            </w:r>
            <w:r>
              <w:rPr>
                <w:rFonts w:ascii="仿宋_GB2312" w:eastAsia="仿宋_GB2312" w:cs="宋体" w:hint="eastAsia"/>
                <w:color w:val="000000"/>
                <w:kern w:val="0"/>
                <w:sz w:val="28"/>
                <w:szCs w:val="28"/>
              </w:rPr>
              <w:lastRenderedPageBreak/>
              <w:t>会客商人数、赴外国家地区数量</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发展服务贸易和服务外包</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推介服务贸易和服务外包企业、扩大技术进出口、软件信息服务业和离岸服务外包出口，宣传县级服务贸易政策、开拓国内外市场。</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促进服务贸易进出口额增长，结构不断优化，对外开放水平日益提升</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组织参展参会企业个数、签订意向协议金额</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促进对外经贸服务</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开发区利用外资管理等工作。完善开发区建设发展管理体系，开展招商引资、培训。</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完成政府下达目标，确保对外投资和经济合作业务稳定增长</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对外投资额增长率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提高外贸市场竞争能力</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打造以技术、质量、品牌、服务为核心的竞争新优势，支持外贸</w:t>
            </w:r>
            <w:r>
              <w:rPr>
                <w:rFonts w:ascii="仿宋_GB2312" w:eastAsia="仿宋_GB2312" w:cs="宋体" w:hint="eastAsia"/>
                <w:color w:val="000000"/>
                <w:kern w:val="0"/>
                <w:sz w:val="28"/>
                <w:szCs w:val="28"/>
              </w:rPr>
              <w:lastRenderedPageBreak/>
              <w:t>基地、品牌、境外营销网络建设，发展跨境电子商务、内外贸结合商品市场、外贸综合服务企业等新业态。</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扩大高新技术产品出口、提高国际市场竞争力</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达成协议及意向个数</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促进区域经济发展</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研究提出区域经济协调发展、加快城镇化发展的</w:t>
            </w:r>
            <w:r>
              <w:rPr>
                <w:rFonts w:ascii="仿宋_GB2312" w:eastAsia="仿宋_GB2312" w:cs="宋体" w:hint="eastAsia"/>
                <w:color w:val="000000"/>
                <w:kern w:val="0"/>
                <w:sz w:val="28"/>
                <w:szCs w:val="28"/>
              </w:rPr>
              <w:lastRenderedPageBreak/>
              <w:t>政策建议；负责区域经济合作统筹协调。</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推动京津冀协同发展。</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推动京津冀协同发展</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配合国家首都经济圈发展规划，做好与国家规划的有效衔接；组织争取国家政策、资金等支持。</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与北京、天津开展战略合作，推动合作协议的落实，深化拓展合作领域，实质性推动一批重大合作事项进</w:t>
            </w:r>
            <w:r>
              <w:rPr>
                <w:rFonts w:ascii="仿宋_GB2312" w:eastAsia="仿宋_GB2312" w:cs="宋体" w:hint="eastAsia"/>
                <w:color w:val="000000"/>
                <w:kern w:val="0"/>
                <w:sz w:val="28"/>
                <w:szCs w:val="28"/>
              </w:rPr>
              <w:lastRenderedPageBreak/>
              <w:t>展。</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与京冀对接活动的组织及项目组织、督导、调研情况</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推进产业结构调整和转型升级</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组织实施综合性产业政策，推进经济结构战略性调整。按照经济和社会发展要求，引导产业升级和转型，支持重点领域和行业建设。</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有效引导行业健康发展，提升全县和行业竞争力。</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组织推进物流业及服务业发展</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组织实施加快服务业发展，落实有关政策措施，推进服务业项目建设。</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加快物流产业聚集区建设；加快物流产业聚集区、已列入物流发展规划的重点项目、农产品物流项目交易设施改造升级及大型冷链物流项目建设。</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物流业增加值增长率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固定资产投资调控与管理</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指导和监督政策性贷款的使用发现，引导民间资金用于固定资产投资的方向；组织开展重点建设项目稽察；指导工程咨询业发展，参与管理与投资建设有关的</w:t>
            </w:r>
            <w:r>
              <w:rPr>
                <w:rFonts w:ascii="仿宋_GB2312" w:eastAsia="仿宋_GB2312" w:cs="宋体" w:hint="eastAsia"/>
                <w:color w:val="000000"/>
                <w:kern w:val="0"/>
                <w:sz w:val="28"/>
                <w:szCs w:val="28"/>
              </w:rPr>
              <w:lastRenderedPageBreak/>
              <w:t>标准定额，化工、煤炭建设项目工程质量监督管理。</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提升公共设施水平，提高公共服务能力，促进经济和社会发展。</w:t>
            </w:r>
          </w:p>
        </w:tc>
        <w:tc>
          <w:tcPr>
            <w:tcW w:w="157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152195">
        <w:trPr>
          <w:trHeight w:val="255"/>
          <w:tblCellSpacing w:w="0" w:type="dxa"/>
          <w:jc w:val="center"/>
        </w:trPr>
        <w:tc>
          <w:tcPr>
            <w:tcW w:w="2610"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组织实施县级重点项目管理和稽察</w:t>
            </w:r>
          </w:p>
        </w:tc>
        <w:tc>
          <w:tcPr>
            <w:tcW w:w="14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组织筛选和实施重点建设项目，协调建设要素及推进中的重大问题；按规定权限审批、核准、审</w:t>
            </w:r>
            <w:r>
              <w:rPr>
                <w:rFonts w:ascii="仿宋_GB2312" w:eastAsia="仿宋_GB2312" w:cs="宋体" w:hint="eastAsia"/>
                <w:color w:val="000000"/>
                <w:kern w:val="0"/>
                <w:sz w:val="28"/>
                <w:szCs w:val="28"/>
              </w:rPr>
              <w:lastRenderedPageBreak/>
              <w:t>核重大建设项目；组织实施重点项目中期评估、后期评价考核；组织开展重点建设项目稽察；指导工程咨询业发展，参与管理与投资建设有关的标准定</w:t>
            </w:r>
            <w:r>
              <w:rPr>
                <w:rFonts w:ascii="仿宋_GB2312" w:eastAsia="仿宋_GB2312" w:cs="宋体" w:hint="eastAsia"/>
                <w:color w:val="000000"/>
                <w:kern w:val="0"/>
                <w:sz w:val="28"/>
                <w:szCs w:val="28"/>
              </w:rPr>
              <w:lastRenderedPageBreak/>
              <w:t>额；组织开展对工作活动范围内的项目单位在前期手续、投资计划和资金下达、建设实施、建设管理、进度控制、资金和财务管理、竣工验收等方面实施情况的</w:t>
            </w:r>
            <w:r>
              <w:rPr>
                <w:rFonts w:ascii="仿宋_GB2312" w:eastAsia="仿宋_GB2312" w:cs="宋体" w:hint="eastAsia"/>
                <w:color w:val="000000"/>
                <w:kern w:val="0"/>
                <w:sz w:val="28"/>
                <w:szCs w:val="28"/>
              </w:rPr>
              <w:lastRenderedPageBreak/>
              <w:t>监督检查；指导管理政府投资非经营性项目代建制工作；建立投资项目信息报送制度。化工、煤炭建设项目工程质量监督管理。</w:t>
            </w:r>
          </w:p>
        </w:tc>
        <w:tc>
          <w:tcPr>
            <w:tcW w:w="331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加强重点项目谋划、协调、督导，推动重点项目顺利实施。加强项目监管，保证建设项目工</w:t>
            </w:r>
            <w:r>
              <w:rPr>
                <w:rFonts w:ascii="仿宋_GB2312" w:eastAsia="仿宋_GB2312" w:cs="宋体" w:hint="eastAsia"/>
                <w:color w:val="000000"/>
                <w:kern w:val="0"/>
                <w:sz w:val="28"/>
                <w:szCs w:val="28"/>
              </w:rPr>
              <w:lastRenderedPageBreak/>
              <w:t>程质量和建设资金安全及有效使用，维护国家和社会公共利益。处罚项目建设中重大突出违法问题</w:t>
            </w:r>
          </w:p>
        </w:tc>
        <w:tc>
          <w:tcPr>
            <w:tcW w:w="1575" w:type="dxa"/>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项目开工率</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bl>
    <w:p w:rsidR="00152195" w:rsidRDefault="00031B80">
      <w:pPr>
        <w:widowControl/>
        <w:spacing w:line="360" w:lineRule="atLeas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 </w:t>
      </w:r>
    </w:p>
    <w:p w:rsidR="00152195" w:rsidRDefault="00031B80" w:rsidP="00BD5D24">
      <w:pPr>
        <w:widowControl/>
        <w:ind w:firstLineChars="200" w:firstLine="643"/>
        <w:jc w:val="left"/>
        <w:rPr>
          <w:rFonts w:ascii="仿宋_GB2312" w:eastAsia="仿宋_GB2312" w:cs="宋体"/>
          <w:color w:val="000000"/>
          <w:kern w:val="0"/>
          <w:sz w:val="32"/>
          <w:szCs w:val="32"/>
        </w:rPr>
      </w:pPr>
      <w:r>
        <w:rPr>
          <w:rFonts w:ascii="黑体" w:eastAsia="黑体" w:cs="宋体" w:hint="eastAsia"/>
          <w:b/>
          <w:bCs/>
          <w:color w:val="000000"/>
          <w:kern w:val="0"/>
          <w:sz w:val="32"/>
          <w:szCs w:val="32"/>
        </w:rPr>
        <w:lastRenderedPageBreak/>
        <w:t>六、政府采购预算情况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宋体" w:eastAsia="仿宋_GB2312" w:hAnsi="宋体" w:cs="宋体"/>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p w:rsidR="00152195" w:rsidRDefault="00031B80">
      <w:pPr>
        <w:jc w:val="center"/>
        <w:outlineLvl w:val="0"/>
        <w:rPr>
          <w:rFonts w:ascii="仿宋_GB2312" w:eastAsia="仿宋_GB2312" w:cs="Times New Roman"/>
          <w:sz w:val="28"/>
          <w:szCs w:val="28"/>
        </w:rPr>
      </w:pPr>
      <w:r>
        <w:rPr>
          <w:rFonts w:ascii="仿宋_GB2312" w:eastAsia="仿宋_GB2312" w:cs="Times New Roman" w:hint="eastAsia"/>
          <w:sz w:val="28"/>
          <w:szCs w:val="28"/>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0"/>
        <w:gridCol w:w="1013"/>
        <w:gridCol w:w="834"/>
        <w:gridCol w:w="1327"/>
        <w:gridCol w:w="834"/>
        <w:gridCol w:w="834"/>
        <w:gridCol w:w="856"/>
        <w:gridCol w:w="853"/>
        <w:gridCol w:w="853"/>
        <w:gridCol w:w="853"/>
        <w:gridCol w:w="776"/>
        <w:gridCol w:w="837"/>
        <w:gridCol w:w="837"/>
        <w:gridCol w:w="784"/>
      </w:tblGrid>
      <w:tr w:rsidR="00152195">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152195" w:rsidRDefault="00031B80">
            <w:pPr>
              <w:spacing w:line="300" w:lineRule="exact"/>
              <w:jc w:val="left"/>
              <w:rPr>
                <w:rFonts w:ascii="仿宋_GB2312" w:eastAsia="仿宋_GB2312" w:cs="Times New Roman"/>
                <w:sz w:val="28"/>
                <w:szCs w:val="28"/>
              </w:rPr>
            </w:pPr>
            <w:r>
              <w:rPr>
                <w:rFonts w:ascii="仿宋_GB2312" w:eastAsia="仿宋_GB2312" w:cs="宋体" w:hint="eastAsia"/>
                <w:color w:val="000000"/>
                <w:kern w:val="0"/>
                <w:sz w:val="28"/>
                <w:szCs w:val="28"/>
              </w:rPr>
              <w:t>河北廊坊广阳经济开发区管理委员会</w:t>
            </w:r>
          </w:p>
        </w:tc>
        <w:tc>
          <w:tcPr>
            <w:tcW w:w="2105" w:type="pct"/>
            <w:gridSpan w:val="7"/>
            <w:tcBorders>
              <w:top w:val="single" w:sz="6" w:space="0" w:color="FFFFFF"/>
              <w:left w:val="single" w:sz="6" w:space="0" w:color="FFFFFF"/>
              <w:right w:val="single" w:sz="6" w:space="0" w:color="FFFFFF"/>
            </w:tcBorders>
            <w:shd w:val="clear" w:color="auto" w:fill="auto"/>
            <w:vAlign w:val="center"/>
          </w:tcPr>
          <w:p w:rsidR="00152195" w:rsidRDefault="00031B80">
            <w:pPr>
              <w:spacing w:line="300" w:lineRule="exact"/>
              <w:jc w:val="right"/>
              <w:rPr>
                <w:rFonts w:ascii="仿宋_GB2312" w:eastAsia="仿宋_GB2312" w:cs="Times New Roman"/>
                <w:sz w:val="28"/>
                <w:szCs w:val="28"/>
              </w:rPr>
            </w:pPr>
            <w:r>
              <w:rPr>
                <w:rFonts w:ascii="仿宋_GB2312" w:eastAsia="仿宋_GB2312" w:cs="Times New Roman" w:hint="eastAsia"/>
                <w:sz w:val="28"/>
                <w:szCs w:val="28"/>
              </w:rPr>
              <w:t>单位：万元</w:t>
            </w:r>
          </w:p>
        </w:tc>
      </w:tr>
      <w:tr w:rsidR="00152195">
        <w:trPr>
          <w:tblHeader/>
          <w:jc w:val="center"/>
        </w:trPr>
        <w:tc>
          <w:tcPr>
            <w:tcW w:w="1193" w:type="pct"/>
            <w:gridSpan w:val="2"/>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政府采购项目来源</w:t>
            </w:r>
          </w:p>
        </w:tc>
        <w:tc>
          <w:tcPr>
            <w:tcW w:w="303"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采购物品名称</w:t>
            </w:r>
          </w:p>
        </w:tc>
        <w:tc>
          <w:tcPr>
            <w:tcW w:w="482"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政府采购目录序号</w:t>
            </w:r>
          </w:p>
        </w:tc>
        <w:tc>
          <w:tcPr>
            <w:tcW w:w="303"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r>
              <w:rPr>
                <w:rFonts w:ascii="仿宋_GB2312" w:eastAsia="仿宋_GB2312" w:cs="Times New Roman" w:hint="eastAsia"/>
                <w:b/>
                <w:sz w:val="28"/>
                <w:szCs w:val="28"/>
              </w:rPr>
              <w:t xml:space="preserve">  </w:t>
            </w:r>
            <w:r>
              <w:rPr>
                <w:rFonts w:ascii="仿宋_GB2312" w:eastAsia="仿宋_GB2312" w:cs="Times New Roman" w:hint="eastAsia"/>
                <w:b/>
                <w:sz w:val="28"/>
                <w:szCs w:val="28"/>
              </w:rPr>
              <w:t>单位</w:t>
            </w:r>
          </w:p>
        </w:tc>
        <w:tc>
          <w:tcPr>
            <w:tcW w:w="303"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p>
        </w:tc>
        <w:tc>
          <w:tcPr>
            <w:tcW w:w="310"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单价</w:t>
            </w:r>
          </w:p>
        </w:tc>
        <w:tc>
          <w:tcPr>
            <w:tcW w:w="2105" w:type="pct"/>
            <w:gridSpan w:val="7"/>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政府采购金额</w:t>
            </w:r>
          </w:p>
        </w:tc>
      </w:tr>
      <w:tr w:rsidR="00152195">
        <w:trPr>
          <w:tblHeader/>
          <w:jc w:val="center"/>
        </w:trPr>
        <w:tc>
          <w:tcPr>
            <w:tcW w:w="825"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项目名称</w:t>
            </w:r>
          </w:p>
        </w:tc>
        <w:tc>
          <w:tcPr>
            <w:tcW w:w="367"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预算资金</w:t>
            </w:r>
          </w:p>
        </w:tc>
        <w:tc>
          <w:tcPr>
            <w:tcW w:w="303" w:type="pct"/>
            <w:vMerge/>
            <w:shd w:val="clear" w:color="auto" w:fill="auto"/>
            <w:vAlign w:val="center"/>
          </w:tcPr>
          <w:p w:rsidR="00152195" w:rsidRDefault="00152195"/>
        </w:tc>
        <w:tc>
          <w:tcPr>
            <w:tcW w:w="482" w:type="pct"/>
            <w:vMerge/>
            <w:shd w:val="clear" w:color="auto" w:fill="auto"/>
            <w:vAlign w:val="center"/>
          </w:tcPr>
          <w:p w:rsidR="00152195" w:rsidRDefault="00152195"/>
        </w:tc>
        <w:tc>
          <w:tcPr>
            <w:tcW w:w="303" w:type="pct"/>
            <w:vMerge/>
            <w:shd w:val="clear" w:color="auto" w:fill="auto"/>
            <w:vAlign w:val="center"/>
          </w:tcPr>
          <w:p w:rsidR="00152195" w:rsidRDefault="00152195"/>
        </w:tc>
        <w:tc>
          <w:tcPr>
            <w:tcW w:w="303" w:type="pct"/>
            <w:vMerge/>
            <w:shd w:val="clear" w:color="auto" w:fill="auto"/>
            <w:vAlign w:val="center"/>
          </w:tcPr>
          <w:p w:rsidR="00152195" w:rsidRDefault="00152195"/>
        </w:tc>
        <w:tc>
          <w:tcPr>
            <w:tcW w:w="310" w:type="pct"/>
            <w:vMerge/>
            <w:shd w:val="clear" w:color="auto" w:fill="auto"/>
            <w:vAlign w:val="center"/>
          </w:tcPr>
          <w:p w:rsidR="00152195" w:rsidRDefault="00152195"/>
        </w:tc>
        <w:tc>
          <w:tcPr>
            <w:tcW w:w="310"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总计</w:t>
            </w:r>
          </w:p>
        </w:tc>
        <w:tc>
          <w:tcPr>
            <w:tcW w:w="1510" w:type="pct"/>
            <w:gridSpan w:val="5"/>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当年部门预算安排资金</w:t>
            </w:r>
          </w:p>
        </w:tc>
        <w:tc>
          <w:tcPr>
            <w:tcW w:w="286" w:type="pct"/>
            <w:vMerge w:val="restar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其他渠道资金</w:t>
            </w:r>
          </w:p>
        </w:tc>
      </w:tr>
      <w:tr w:rsidR="00152195">
        <w:trPr>
          <w:tblHeader/>
          <w:jc w:val="center"/>
        </w:trPr>
        <w:tc>
          <w:tcPr>
            <w:tcW w:w="825" w:type="pct"/>
            <w:vMerge/>
            <w:shd w:val="clear" w:color="auto" w:fill="auto"/>
            <w:vAlign w:val="center"/>
          </w:tcPr>
          <w:p w:rsidR="00152195" w:rsidRDefault="00152195"/>
        </w:tc>
        <w:tc>
          <w:tcPr>
            <w:tcW w:w="367" w:type="pct"/>
            <w:vMerge/>
            <w:shd w:val="clear" w:color="auto" w:fill="auto"/>
            <w:vAlign w:val="center"/>
          </w:tcPr>
          <w:p w:rsidR="00152195" w:rsidRDefault="00152195"/>
        </w:tc>
        <w:tc>
          <w:tcPr>
            <w:tcW w:w="303" w:type="pct"/>
            <w:vMerge/>
            <w:shd w:val="clear" w:color="auto" w:fill="auto"/>
            <w:vAlign w:val="center"/>
          </w:tcPr>
          <w:p w:rsidR="00152195" w:rsidRDefault="00152195"/>
        </w:tc>
        <w:tc>
          <w:tcPr>
            <w:tcW w:w="482" w:type="pct"/>
            <w:vMerge/>
            <w:shd w:val="clear" w:color="auto" w:fill="auto"/>
            <w:vAlign w:val="center"/>
          </w:tcPr>
          <w:p w:rsidR="00152195" w:rsidRDefault="00152195"/>
        </w:tc>
        <w:tc>
          <w:tcPr>
            <w:tcW w:w="303" w:type="pct"/>
            <w:vMerge/>
            <w:shd w:val="clear" w:color="auto" w:fill="auto"/>
            <w:vAlign w:val="center"/>
          </w:tcPr>
          <w:p w:rsidR="00152195" w:rsidRDefault="00152195"/>
        </w:tc>
        <w:tc>
          <w:tcPr>
            <w:tcW w:w="303" w:type="pct"/>
            <w:vMerge/>
            <w:shd w:val="clear" w:color="auto" w:fill="auto"/>
            <w:vAlign w:val="center"/>
          </w:tcPr>
          <w:p w:rsidR="00152195" w:rsidRDefault="00152195"/>
        </w:tc>
        <w:tc>
          <w:tcPr>
            <w:tcW w:w="310" w:type="pct"/>
            <w:vMerge/>
            <w:shd w:val="clear" w:color="auto" w:fill="auto"/>
            <w:vAlign w:val="center"/>
          </w:tcPr>
          <w:p w:rsidR="00152195" w:rsidRDefault="00152195"/>
        </w:tc>
        <w:tc>
          <w:tcPr>
            <w:tcW w:w="310" w:type="pct"/>
            <w:vMerge/>
            <w:shd w:val="clear" w:color="auto" w:fill="auto"/>
            <w:vAlign w:val="center"/>
          </w:tcPr>
          <w:p w:rsidR="00152195" w:rsidRDefault="00152195"/>
        </w:tc>
        <w:tc>
          <w:tcPr>
            <w:tcW w:w="310"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合计</w:t>
            </w:r>
          </w:p>
        </w:tc>
        <w:tc>
          <w:tcPr>
            <w:tcW w:w="310"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一般公共预算拨款</w:t>
            </w:r>
          </w:p>
        </w:tc>
        <w:tc>
          <w:tcPr>
            <w:tcW w:w="282"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基金预算拨款</w:t>
            </w:r>
          </w:p>
        </w:tc>
        <w:tc>
          <w:tcPr>
            <w:tcW w:w="304"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财政专户核拨</w:t>
            </w:r>
          </w:p>
        </w:tc>
        <w:tc>
          <w:tcPr>
            <w:tcW w:w="304"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其他来源收入</w:t>
            </w:r>
          </w:p>
        </w:tc>
        <w:tc>
          <w:tcPr>
            <w:tcW w:w="286" w:type="pct"/>
            <w:vMerge/>
            <w:shd w:val="clear" w:color="auto" w:fill="auto"/>
            <w:vAlign w:val="center"/>
          </w:tcPr>
          <w:p w:rsidR="00152195" w:rsidRDefault="00152195"/>
        </w:tc>
      </w:tr>
      <w:tr w:rsidR="00152195">
        <w:trPr>
          <w:jc w:val="center"/>
        </w:trPr>
        <w:tc>
          <w:tcPr>
            <w:tcW w:w="825" w:type="pct"/>
            <w:shd w:val="clear" w:color="auto" w:fill="auto"/>
            <w:vAlign w:val="center"/>
          </w:tcPr>
          <w:p w:rsidR="00152195" w:rsidRDefault="00031B80">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　计</w:t>
            </w:r>
          </w:p>
        </w:tc>
        <w:tc>
          <w:tcPr>
            <w:tcW w:w="367"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482"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282"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286"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r>
      <w:tr w:rsidR="00152195">
        <w:trPr>
          <w:jc w:val="center"/>
        </w:trPr>
        <w:tc>
          <w:tcPr>
            <w:tcW w:w="825" w:type="pct"/>
            <w:shd w:val="clear" w:color="auto" w:fill="auto"/>
            <w:vAlign w:val="center"/>
          </w:tcPr>
          <w:p w:rsidR="00152195" w:rsidRDefault="00152195">
            <w:pPr>
              <w:spacing w:line="300" w:lineRule="exact"/>
              <w:jc w:val="center"/>
              <w:rPr>
                <w:rFonts w:ascii="仿宋_GB2312" w:eastAsia="仿宋_GB2312" w:cs="Times New Roman"/>
                <w:b/>
                <w:sz w:val="28"/>
                <w:szCs w:val="28"/>
              </w:rPr>
            </w:pPr>
          </w:p>
        </w:tc>
        <w:tc>
          <w:tcPr>
            <w:tcW w:w="367"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482"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b/>
                <w:sz w:val="28"/>
                <w:szCs w:val="28"/>
              </w:rPr>
            </w:pPr>
          </w:p>
        </w:tc>
        <w:tc>
          <w:tcPr>
            <w:tcW w:w="303"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282"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c>
          <w:tcPr>
            <w:tcW w:w="286" w:type="pct"/>
            <w:shd w:val="clear" w:color="auto" w:fill="auto"/>
            <w:vAlign w:val="center"/>
          </w:tcPr>
          <w:p w:rsidR="00152195" w:rsidRDefault="00152195">
            <w:pPr>
              <w:spacing w:line="300" w:lineRule="exact"/>
              <w:jc w:val="right"/>
              <w:rPr>
                <w:rFonts w:ascii="仿宋_GB2312" w:eastAsia="仿宋_GB2312" w:cs="Times New Roman"/>
                <w:b/>
                <w:sz w:val="28"/>
                <w:szCs w:val="28"/>
              </w:rPr>
            </w:pPr>
          </w:p>
        </w:tc>
      </w:tr>
      <w:tr w:rsidR="00152195">
        <w:trPr>
          <w:jc w:val="center"/>
        </w:trPr>
        <w:tc>
          <w:tcPr>
            <w:tcW w:w="825" w:type="pct"/>
            <w:shd w:val="clear" w:color="auto" w:fill="auto"/>
            <w:vAlign w:val="center"/>
          </w:tcPr>
          <w:p w:rsidR="00152195" w:rsidRDefault="00152195">
            <w:pPr>
              <w:spacing w:line="300" w:lineRule="exact"/>
              <w:jc w:val="left"/>
              <w:rPr>
                <w:rFonts w:ascii="仿宋_GB2312" w:eastAsia="仿宋_GB2312" w:cs="Times New Roman"/>
                <w:sz w:val="28"/>
                <w:szCs w:val="28"/>
              </w:rPr>
            </w:pPr>
          </w:p>
        </w:tc>
        <w:tc>
          <w:tcPr>
            <w:tcW w:w="367"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sz w:val="28"/>
                <w:szCs w:val="28"/>
              </w:rPr>
            </w:pPr>
          </w:p>
        </w:tc>
        <w:tc>
          <w:tcPr>
            <w:tcW w:w="482" w:type="pct"/>
            <w:shd w:val="clear" w:color="auto" w:fill="auto"/>
            <w:vAlign w:val="center"/>
          </w:tcPr>
          <w:p w:rsidR="00152195" w:rsidRDefault="00152195">
            <w:pPr>
              <w:spacing w:line="300" w:lineRule="exact"/>
              <w:jc w:val="left"/>
              <w:rPr>
                <w:rFonts w:ascii="仿宋_GB2312" w:eastAsia="仿宋_GB2312" w:cs="Times New Roman"/>
                <w:sz w:val="28"/>
                <w:szCs w:val="28"/>
              </w:rPr>
            </w:pPr>
          </w:p>
        </w:tc>
        <w:tc>
          <w:tcPr>
            <w:tcW w:w="303" w:type="pct"/>
            <w:shd w:val="clear" w:color="auto" w:fill="auto"/>
            <w:vAlign w:val="center"/>
          </w:tcPr>
          <w:p w:rsidR="00152195" w:rsidRDefault="00152195">
            <w:pPr>
              <w:spacing w:line="300" w:lineRule="exact"/>
              <w:jc w:val="left"/>
              <w:rPr>
                <w:rFonts w:ascii="仿宋_GB2312" w:eastAsia="仿宋_GB2312" w:cs="Times New Roman"/>
                <w:sz w:val="28"/>
                <w:szCs w:val="28"/>
              </w:rPr>
            </w:pPr>
          </w:p>
        </w:tc>
        <w:tc>
          <w:tcPr>
            <w:tcW w:w="303"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282"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304"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c>
          <w:tcPr>
            <w:tcW w:w="286" w:type="pct"/>
            <w:shd w:val="clear" w:color="auto" w:fill="auto"/>
            <w:vAlign w:val="center"/>
          </w:tcPr>
          <w:p w:rsidR="00152195" w:rsidRDefault="00152195">
            <w:pPr>
              <w:spacing w:line="300" w:lineRule="exact"/>
              <w:jc w:val="right"/>
              <w:rPr>
                <w:rFonts w:ascii="仿宋_GB2312" w:eastAsia="仿宋_GB2312" w:cs="Times New Roman"/>
                <w:sz w:val="28"/>
                <w:szCs w:val="28"/>
              </w:rPr>
            </w:pPr>
          </w:p>
        </w:tc>
      </w:tr>
      <w:tr w:rsidR="00152195">
        <w:trPr>
          <w:jc w:val="center"/>
        </w:trPr>
        <w:tc>
          <w:tcPr>
            <w:tcW w:w="825" w:type="pct"/>
            <w:shd w:val="clear" w:color="auto" w:fill="auto"/>
            <w:vAlign w:val="center"/>
          </w:tcPr>
          <w:p w:rsidR="00152195" w:rsidRDefault="00152195">
            <w:pPr>
              <w:spacing w:line="300" w:lineRule="exact"/>
              <w:jc w:val="left"/>
              <w:rPr>
                <w:rFonts w:ascii="仿宋_GB2312" w:eastAsia="仿宋_GB2312" w:cs="Times New Roman"/>
                <w:sz w:val="32"/>
                <w:szCs w:val="32"/>
              </w:rPr>
            </w:pPr>
          </w:p>
        </w:tc>
        <w:tc>
          <w:tcPr>
            <w:tcW w:w="367"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03" w:type="pct"/>
            <w:shd w:val="clear" w:color="auto" w:fill="auto"/>
            <w:vAlign w:val="center"/>
          </w:tcPr>
          <w:p w:rsidR="00152195" w:rsidRDefault="00152195">
            <w:pPr>
              <w:spacing w:line="300" w:lineRule="exact"/>
              <w:jc w:val="left"/>
              <w:rPr>
                <w:rFonts w:ascii="仿宋_GB2312" w:eastAsia="仿宋_GB2312" w:cs="Times New Roman"/>
                <w:sz w:val="32"/>
                <w:szCs w:val="32"/>
              </w:rPr>
            </w:pPr>
          </w:p>
        </w:tc>
        <w:tc>
          <w:tcPr>
            <w:tcW w:w="482" w:type="pct"/>
            <w:shd w:val="clear" w:color="auto" w:fill="auto"/>
            <w:vAlign w:val="center"/>
          </w:tcPr>
          <w:p w:rsidR="00152195" w:rsidRDefault="00152195">
            <w:pPr>
              <w:spacing w:line="300" w:lineRule="exact"/>
              <w:jc w:val="left"/>
              <w:rPr>
                <w:rFonts w:ascii="仿宋_GB2312" w:eastAsia="仿宋_GB2312" w:cs="Times New Roman"/>
                <w:sz w:val="32"/>
                <w:szCs w:val="32"/>
              </w:rPr>
            </w:pPr>
          </w:p>
        </w:tc>
        <w:tc>
          <w:tcPr>
            <w:tcW w:w="303" w:type="pct"/>
            <w:shd w:val="clear" w:color="auto" w:fill="auto"/>
            <w:vAlign w:val="center"/>
          </w:tcPr>
          <w:p w:rsidR="00152195" w:rsidRDefault="00152195">
            <w:pPr>
              <w:spacing w:line="300" w:lineRule="exact"/>
              <w:jc w:val="left"/>
              <w:rPr>
                <w:rFonts w:ascii="仿宋_GB2312" w:eastAsia="仿宋_GB2312" w:cs="Times New Roman"/>
                <w:sz w:val="32"/>
                <w:szCs w:val="32"/>
              </w:rPr>
            </w:pPr>
          </w:p>
        </w:tc>
        <w:tc>
          <w:tcPr>
            <w:tcW w:w="303"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10"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282"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04"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304"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c>
          <w:tcPr>
            <w:tcW w:w="286" w:type="pct"/>
            <w:shd w:val="clear" w:color="auto" w:fill="auto"/>
            <w:vAlign w:val="center"/>
          </w:tcPr>
          <w:p w:rsidR="00152195" w:rsidRDefault="00152195">
            <w:pPr>
              <w:spacing w:line="300" w:lineRule="exact"/>
              <w:jc w:val="right"/>
              <w:rPr>
                <w:rFonts w:ascii="仿宋_GB2312" w:eastAsia="仿宋_GB2312" w:cs="Times New Roman"/>
                <w:sz w:val="32"/>
                <w:szCs w:val="32"/>
              </w:rPr>
            </w:pPr>
          </w:p>
        </w:tc>
      </w:tr>
    </w:tbl>
    <w:p w:rsidR="00152195" w:rsidRDefault="00152195">
      <w:pPr>
        <w:widowControl/>
        <w:jc w:val="left"/>
        <w:rPr>
          <w:rFonts w:ascii="黑体" w:eastAsia="黑体" w:cs="宋体"/>
          <w:b/>
          <w:bCs/>
          <w:color w:val="000000"/>
          <w:kern w:val="0"/>
          <w:sz w:val="32"/>
          <w:szCs w:val="32"/>
        </w:rPr>
      </w:pPr>
    </w:p>
    <w:p w:rsidR="00152195" w:rsidRDefault="00031B80" w:rsidP="00BD5D24">
      <w:pPr>
        <w:widowControl/>
        <w:ind w:firstLineChars="200" w:firstLine="643"/>
        <w:jc w:val="left"/>
        <w:rPr>
          <w:rFonts w:ascii="仿宋_GB2312" w:eastAsia="仿宋_GB2312" w:cs="宋体"/>
          <w:kern w:val="0"/>
          <w:sz w:val="32"/>
          <w:szCs w:val="32"/>
        </w:rPr>
      </w:pPr>
      <w:r>
        <w:rPr>
          <w:rFonts w:ascii="黑体" w:eastAsia="黑体" w:cs="宋体"/>
          <w:b/>
          <w:bCs/>
          <w:color w:val="000000"/>
          <w:kern w:val="0"/>
          <w:sz w:val="32"/>
          <w:szCs w:val="32"/>
        </w:rPr>
        <w:br w:type="page"/>
      </w:r>
      <w:r>
        <w:rPr>
          <w:rFonts w:ascii="黑体" w:eastAsia="黑体" w:cs="宋体" w:hint="eastAsia"/>
          <w:b/>
          <w:bCs/>
          <w:color w:val="000000"/>
          <w:kern w:val="0"/>
          <w:sz w:val="32"/>
          <w:szCs w:val="32"/>
        </w:rPr>
        <w:lastRenderedPageBreak/>
        <w:t>七、国有</w:t>
      </w:r>
      <w:r>
        <w:rPr>
          <w:rFonts w:ascii="黑体" w:eastAsia="黑体" w:cs="宋体" w:hint="eastAsia"/>
          <w:b/>
          <w:bCs/>
          <w:color w:val="000000"/>
          <w:kern w:val="0"/>
          <w:sz w:val="32"/>
          <w:szCs w:val="32"/>
        </w:rPr>
        <w:t>资产信息</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宋体" w:eastAsia="仿宋_GB2312" w:hAnsi="宋体" w:cs="宋体"/>
          <w:color w:val="000000"/>
          <w:kern w:val="0"/>
          <w:sz w:val="32"/>
          <w:szCs w:val="32"/>
        </w:rPr>
        <w:t xml:space="preserve"> </w:t>
      </w:r>
      <w:r>
        <w:rPr>
          <w:rFonts w:ascii="仿宋_GB2312" w:eastAsia="仿宋_GB2312" w:cs="宋体" w:hint="eastAsia"/>
          <w:color w:val="000000"/>
          <w:kern w:val="0"/>
          <w:sz w:val="32"/>
          <w:szCs w:val="32"/>
        </w:rPr>
        <w:t>我部门（含所属单位）上年末固定资产金额为</w:t>
      </w:r>
      <w:r>
        <w:rPr>
          <w:rFonts w:ascii="仿宋_GB2312" w:eastAsia="仿宋_GB2312" w:cs="宋体" w:hint="eastAsia"/>
          <w:color w:val="000000"/>
          <w:kern w:val="0"/>
          <w:sz w:val="32"/>
          <w:szCs w:val="32"/>
        </w:rPr>
        <w:t>24.22</w:t>
      </w:r>
      <w:r>
        <w:rPr>
          <w:rFonts w:ascii="仿宋_GB2312" w:eastAsia="仿宋_GB2312" w:cs="宋体" w:hint="eastAsia"/>
          <w:color w:val="000000"/>
          <w:kern w:val="0"/>
          <w:sz w:val="32"/>
          <w:szCs w:val="32"/>
        </w:rPr>
        <w:t>万元，本年度无拟购置固定资产</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详见下表。</w:t>
      </w:r>
    </w:p>
    <w:tbl>
      <w:tblPr>
        <w:tblW w:w="10379" w:type="dxa"/>
        <w:jc w:val="center"/>
        <w:tblCellSpacing w:w="0" w:type="dxa"/>
        <w:tblCellMar>
          <w:left w:w="0" w:type="dxa"/>
          <w:right w:w="0" w:type="dxa"/>
        </w:tblCellMar>
        <w:tblLook w:val="0000"/>
      </w:tblPr>
      <w:tblGrid>
        <w:gridCol w:w="4102"/>
        <w:gridCol w:w="2660"/>
        <w:gridCol w:w="3737"/>
      </w:tblGrid>
      <w:tr w:rsidR="00152195">
        <w:trPr>
          <w:trHeight w:val="705"/>
          <w:tblCellSpacing w:w="0" w:type="dxa"/>
          <w:jc w:val="center"/>
        </w:trPr>
        <w:tc>
          <w:tcPr>
            <w:tcW w:w="10409" w:type="dxa"/>
            <w:gridSpan w:val="3"/>
            <w:noWrap/>
            <w:vAlign w:val="center"/>
          </w:tcPr>
          <w:p w:rsidR="00152195" w:rsidRDefault="00031B80">
            <w:pPr>
              <w:widowControl/>
              <w:spacing w:line="360" w:lineRule="atLeast"/>
              <w:jc w:val="center"/>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cs="宋体" w:hint="eastAsia"/>
                <w:b/>
                <w:bCs/>
                <w:color w:val="000000"/>
                <w:kern w:val="0"/>
                <w:sz w:val="28"/>
                <w:szCs w:val="28"/>
              </w:rPr>
              <w:t>廊坊市广阳区预算部门固定资产占用情况表</w:t>
            </w:r>
          </w:p>
        </w:tc>
      </w:tr>
      <w:tr w:rsidR="00152195">
        <w:trPr>
          <w:trHeight w:val="839"/>
          <w:tblCellSpacing w:w="0" w:type="dxa"/>
          <w:jc w:val="center"/>
        </w:trPr>
        <w:tc>
          <w:tcPr>
            <w:tcW w:w="6707" w:type="dxa"/>
            <w:gridSpan w:val="2"/>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编制部门：</w:t>
            </w:r>
            <w:r>
              <w:rPr>
                <w:rFonts w:ascii="仿宋_GB2312" w:eastAsia="仿宋_GB2312" w:cs="宋体" w:hint="eastAsia"/>
                <w:b/>
                <w:bCs/>
                <w:color w:val="000000"/>
                <w:kern w:val="0"/>
                <w:sz w:val="28"/>
                <w:szCs w:val="28"/>
              </w:rPr>
              <w:t>河北廊坊广阳经济开发区管理委员会</w:t>
            </w:r>
          </w:p>
        </w:tc>
        <w:tc>
          <w:tcPr>
            <w:tcW w:w="3717" w:type="dxa"/>
            <w:noWrap/>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仿宋_GB2312" w:eastAsia="仿宋_GB2312" w:cs="宋体" w:hint="eastAsia"/>
                <w:color w:val="000000"/>
                <w:kern w:val="0"/>
                <w:sz w:val="28"/>
                <w:szCs w:val="28"/>
              </w:rPr>
              <w:t>截止时间：</w:t>
            </w:r>
            <w:r>
              <w:rPr>
                <w:rFonts w:ascii="仿宋_GB2312" w:eastAsia="仿宋_GB2312" w:cs="宋体" w:hint="eastAsia"/>
                <w:color w:val="000000"/>
                <w:kern w:val="0"/>
                <w:sz w:val="28"/>
                <w:szCs w:val="28"/>
              </w:rPr>
              <w:t>2016</w:t>
            </w:r>
            <w:r>
              <w:rPr>
                <w:rFonts w:ascii="仿宋_GB2312" w:eastAsia="仿宋_GB2312" w:cs="宋体" w:hint="eastAsia"/>
                <w:color w:val="000000"/>
                <w:kern w:val="0"/>
                <w:sz w:val="28"/>
                <w:szCs w:val="28"/>
              </w:rPr>
              <w:t>年</w:t>
            </w:r>
            <w:r>
              <w:rPr>
                <w:rFonts w:ascii="仿宋_GB2312" w:eastAsia="仿宋_GB2312" w:cs="宋体" w:hint="eastAsia"/>
                <w:color w:val="000000"/>
                <w:kern w:val="0"/>
                <w:sz w:val="28"/>
                <w:szCs w:val="28"/>
              </w:rPr>
              <w:t>12</w:t>
            </w:r>
            <w:r>
              <w:rPr>
                <w:rFonts w:ascii="仿宋_GB2312" w:eastAsia="仿宋_GB2312" w:cs="宋体" w:hint="eastAsia"/>
                <w:color w:val="000000"/>
                <w:kern w:val="0"/>
                <w:sz w:val="28"/>
                <w:szCs w:val="28"/>
              </w:rPr>
              <w:t>月</w:t>
            </w:r>
            <w:r>
              <w:rPr>
                <w:rFonts w:ascii="仿宋_GB2312" w:eastAsia="仿宋_GB2312" w:cs="宋体" w:hint="eastAsia"/>
                <w:color w:val="000000"/>
                <w:kern w:val="0"/>
                <w:sz w:val="28"/>
                <w:szCs w:val="28"/>
              </w:rPr>
              <w:t>31</w:t>
            </w:r>
            <w:r>
              <w:rPr>
                <w:rFonts w:ascii="仿宋_GB2312" w:eastAsia="仿宋_GB2312" w:cs="宋体" w:hint="eastAsia"/>
                <w:color w:val="000000"/>
                <w:kern w:val="0"/>
                <w:sz w:val="28"/>
                <w:szCs w:val="28"/>
              </w:rPr>
              <w:t>日</w:t>
            </w:r>
            <w:r>
              <w:rPr>
                <w:rFonts w:ascii="宋体" w:eastAsia="仿宋_GB2312" w:hAnsi="宋体" w:cs="宋体" w:hint="eastAsia"/>
                <w:color w:val="000000"/>
                <w:kern w:val="0"/>
                <w:sz w:val="28"/>
                <w:szCs w:val="28"/>
              </w:rPr>
              <w:t> </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项</w:t>
            </w:r>
            <w:r>
              <w:rPr>
                <w:rFonts w:ascii="宋体" w:eastAsia="仿宋_GB2312" w:hAnsi="宋体" w:cs="宋体" w:hint="eastAsia"/>
                <w:b/>
                <w:bCs/>
                <w:color w:val="000000"/>
                <w:kern w:val="0"/>
                <w:sz w:val="28"/>
                <w:szCs w:val="28"/>
              </w:rPr>
              <w:t xml:space="preserve">   </w:t>
            </w:r>
            <w:r>
              <w:rPr>
                <w:rFonts w:ascii="仿宋_GB2312" w:eastAsia="仿宋_GB2312" w:cs="宋体" w:hint="eastAsia"/>
                <w:b/>
                <w:bCs/>
                <w:color w:val="000000"/>
                <w:kern w:val="0"/>
                <w:sz w:val="28"/>
                <w:szCs w:val="28"/>
              </w:rPr>
              <w:t>目</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数量</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价值（金额单位：万元）</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资产总额</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24.22</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w:t>
            </w:r>
            <w:r>
              <w:rPr>
                <w:rFonts w:ascii="仿宋_GB2312" w:eastAsia="仿宋_GB2312" w:cs="宋体" w:hint="eastAsia"/>
                <w:color w:val="000000"/>
                <w:kern w:val="0"/>
                <w:sz w:val="28"/>
                <w:szCs w:val="28"/>
              </w:rPr>
              <w:t>、房屋（平方米）</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cs="宋体" w:hint="eastAsia"/>
                <w:color w:val="000000"/>
                <w:kern w:val="0"/>
                <w:sz w:val="28"/>
                <w:szCs w:val="28"/>
              </w:rPr>
              <w:t>0.00</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xml:space="preserve">   </w:t>
            </w:r>
            <w:r>
              <w:rPr>
                <w:rFonts w:ascii="仿宋_GB2312" w:eastAsia="仿宋_GB2312" w:cs="宋体" w:hint="eastAsia"/>
                <w:color w:val="000000"/>
                <w:kern w:val="0"/>
                <w:sz w:val="28"/>
                <w:szCs w:val="28"/>
              </w:rPr>
              <w:t>其中：办公用房（平方米）</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cs="宋体" w:hint="eastAsia"/>
                <w:color w:val="000000"/>
                <w:kern w:val="0"/>
                <w:sz w:val="28"/>
                <w:szCs w:val="28"/>
              </w:rPr>
              <w:t>0.00</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w:t>
            </w:r>
            <w:r>
              <w:rPr>
                <w:rFonts w:ascii="仿宋_GB2312" w:eastAsia="仿宋_GB2312" w:cs="宋体" w:hint="eastAsia"/>
                <w:color w:val="000000"/>
                <w:kern w:val="0"/>
                <w:sz w:val="28"/>
                <w:szCs w:val="28"/>
              </w:rPr>
              <w:t>、车辆（台、辆）</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23.78</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3</w:t>
            </w:r>
            <w:r>
              <w:rPr>
                <w:rFonts w:ascii="仿宋_GB2312" w:eastAsia="仿宋_GB2312" w:cs="宋体" w:hint="eastAsia"/>
                <w:color w:val="000000"/>
                <w:kern w:val="0"/>
                <w:sz w:val="28"/>
                <w:szCs w:val="28"/>
              </w:rPr>
              <w:t>、单价在</w:t>
            </w:r>
            <w:r>
              <w:rPr>
                <w:rFonts w:ascii="仿宋_GB2312" w:eastAsia="仿宋_GB2312" w:cs="宋体" w:hint="eastAsia"/>
                <w:color w:val="000000"/>
                <w:kern w:val="0"/>
                <w:sz w:val="28"/>
                <w:szCs w:val="28"/>
              </w:rPr>
              <w:t>50</w:t>
            </w:r>
            <w:r>
              <w:rPr>
                <w:rFonts w:ascii="仿宋_GB2312" w:eastAsia="仿宋_GB2312" w:cs="宋体" w:hint="eastAsia"/>
                <w:color w:val="000000"/>
                <w:kern w:val="0"/>
                <w:sz w:val="28"/>
                <w:szCs w:val="28"/>
              </w:rPr>
              <w:t>万元以上的设备</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cs="宋体" w:hint="eastAsia"/>
                <w:color w:val="000000"/>
                <w:kern w:val="0"/>
                <w:sz w:val="28"/>
                <w:szCs w:val="28"/>
              </w:rPr>
              <w:t>0.00</w:t>
            </w:r>
          </w:p>
        </w:tc>
      </w:tr>
      <w:tr w:rsidR="00152195">
        <w:trPr>
          <w:trHeight w:val="645"/>
          <w:tblCellSpacing w:w="0" w:type="dxa"/>
          <w:jc w:val="center"/>
        </w:trPr>
        <w:tc>
          <w:tcPr>
            <w:tcW w:w="4082"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w:t>
            </w:r>
            <w:r>
              <w:rPr>
                <w:rFonts w:ascii="仿宋_GB2312" w:eastAsia="仿宋_GB2312" w:cs="宋体" w:hint="eastAsia"/>
                <w:color w:val="000000"/>
                <w:kern w:val="0"/>
                <w:sz w:val="28"/>
                <w:szCs w:val="28"/>
              </w:rPr>
              <w:t>、其他固定资产</w:t>
            </w:r>
          </w:p>
        </w:tc>
        <w:tc>
          <w:tcPr>
            <w:tcW w:w="2640"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717" w:type="dxa"/>
            <w:tcBorders>
              <w:top w:val="single" w:sz="4" w:space="0" w:color="auto"/>
              <w:left w:val="single" w:sz="4" w:space="0" w:color="auto"/>
              <w:bottom w:val="single" w:sz="4" w:space="0" w:color="auto"/>
              <w:right w:val="single" w:sz="4" w:space="0" w:color="auto"/>
            </w:tcBorders>
            <w:noWrap/>
            <w:vAlign w:val="center"/>
          </w:tcPr>
          <w:p w:rsidR="00152195" w:rsidRDefault="00031B80">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0.44</w:t>
            </w:r>
          </w:p>
        </w:tc>
      </w:tr>
    </w:tbl>
    <w:p w:rsidR="00152195" w:rsidRDefault="00031B80">
      <w:pPr>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 </w:t>
      </w:r>
    </w:p>
    <w:p w:rsidR="00152195" w:rsidRDefault="00031B80" w:rsidP="00BD5D24">
      <w:pPr>
        <w:pStyle w:val="Default"/>
        <w:ind w:firstLineChars="200" w:firstLine="643"/>
        <w:rPr>
          <w:rFonts w:ascii="仿宋_GB2312" w:eastAsia="仿宋_GB2312"/>
          <w:b/>
          <w:bCs/>
          <w:sz w:val="32"/>
          <w:szCs w:val="32"/>
        </w:rPr>
      </w:pPr>
      <w:r>
        <w:rPr>
          <w:rFonts w:ascii="黑体" w:eastAsia="黑体" w:cs="宋体" w:hint="eastAsia"/>
          <w:b/>
          <w:bCs/>
          <w:sz w:val="32"/>
          <w:szCs w:val="32"/>
        </w:rPr>
        <w:lastRenderedPageBreak/>
        <w:t>八、名词解释</w:t>
      </w:r>
      <w:r>
        <w:rPr>
          <w:rFonts w:ascii="黑体" w:eastAsia="黑体" w:cs="宋体" w:hint="eastAsia"/>
          <w:sz w:val="32"/>
          <w:szCs w:val="32"/>
        </w:rPr>
        <w:br/>
      </w:r>
      <w:r>
        <w:rPr>
          <w:rFonts w:hint="eastAsia"/>
          <w:b/>
          <w:bCs/>
          <w:sz w:val="32"/>
          <w:szCs w:val="32"/>
        </w:rPr>
        <w:t xml:space="preserve">   </w:t>
      </w:r>
      <w:r>
        <w:rPr>
          <w:b/>
          <w:bCs/>
          <w:sz w:val="32"/>
          <w:szCs w:val="32"/>
        </w:rPr>
        <w:t xml:space="preserve"> </w:t>
      </w:r>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152195" w:rsidRDefault="00031B80">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152195" w:rsidRDefault="00031B80">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152195" w:rsidRDefault="00031B80">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152195" w:rsidRDefault="00031B80">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152195" w:rsidRDefault="00031B80">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152195" w:rsidRDefault="00031B80">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52195" w:rsidRDefault="00031B80">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w:t>
      </w:r>
      <w:r>
        <w:rPr>
          <w:rFonts w:ascii="仿宋_GB2312" w:eastAsia="仿宋_GB2312" w:cs="FZFangSong-Z02" w:hint="eastAsia"/>
          <w:sz w:val="32"/>
          <w:szCs w:val="32"/>
        </w:rPr>
        <w:t>于购买货物</w:t>
      </w:r>
      <w:r>
        <w:rPr>
          <w:rFonts w:ascii="仿宋_GB2312" w:eastAsia="仿宋_GB2312" w:cs="FZFangSong-Z02" w:hint="eastAsia"/>
          <w:sz w:val="32"/>
          <w:szCs w:val="32"/>
        </w:rPr>
        <w:lastRenderedPageBreak/>
        <w:t>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152195" w:rsidRDefault="00031B80" w:rsidP="00BD5D24">
      <w:pPr>
        <w:ind w:firstLineChars="200" w:firstLine="643"/>
        <w:rPr>
          <w:rFonts w:ascii="黑体" w:eastAsia="黑体" w:cs="宋体"/>
          <w:color w:val="000000"/>
          <w:kern w:val="0"/>
          <w:sz w:val="32"/>
          <w:szCs w:val="32"/>
        </w:rPr>
      </w:pPr>
      <w:r>
        <w:rPr>
          <w:rFonts w:ascii="黑体" w:eastAsia="黑体" w:cs="宋体" w:hint="eastAsia"/>
          <w:b/>
          <w:bCs/>
          <w:color w:val="000000"/>
          <w:kern w:val="0"/>
          <w:sz w:val="32"/>
          <w:szCs w:val="32"/>
        </w:rPr>
        <w:t>九、其它需要说明的事项</w:t>
      </w:r>
    </w:p>
    <w:p w:rsidR="00152195" w:rsidRDefault="00031B80">
      <w:pPr>
        <w:ind w:firstLineChars="200" w:firstLine="640"/>
        <w:rPr>
          <w:rFonts w:ascii="仿宋_GB2312" w:eastAsia="仿宋_GB2312"/>
          <w:sz w:val="32"/>
          <w:szCs w:val="32"/>
        </w:rPr>
      </w:pPr>
      <w:r>
        <w:rPr>
          <w:rFonts w:ascii="仿宋_GB2312" w:eastAsia="仿宋_GB2312" w:cs="宋体" w:hint="eastAsia"/>
          <w:color w:val="000000"/>
          <w:kern w:val="0"/>
          <w:sz w:val="32"/>
          <w:szCs w:val="32"/>
        </w:rPr>
        <w:t>无其它需要说明的事项。</w:t>
      </w:r>
    </w:p>
    <w:sectPr w:rsidR="00152195" w:rsidSect="00152195">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80" w:rsidRDefault="00031B80" w:rsidP="00BD5D24">
      <w:r>
        <w:separator/>
      </w:r>
    </w:p>
  </w:endnote>
  <w:endnote w:type="continuationSeparator" w:id="1">
    <w:p w:rsidR="00031B80" w:rsidRDefault="00031B80" w:rsidP="00BD5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variable"/>
    <w:sig w:usb0="00000000" w:usb1="080E0000" w:usb2="00000000" w:usb3="00000000" w:csb0="00040000"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80" w:rsidRDefault="00031B80" w:rsidP="00BD5D24">
      <w:r>
        <w:separator/>
      </w:r>
    </w:p>
  </w:footnote>
  <w:footnote w:type="continuationSeparator" w:id="1">
    <w:p w:rsidR="00031B80" w:rsidRDefault="00031B80" w:rsidP="00BD5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152195"/>
    <w:rsid w:val="00031B80"/>
    <w:rsid w:val="00152195"/>
    <w:rsid w:val="00BD5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2195"/>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2195"/>
    <w:pPr>
      <w:pBdr>
        <w:bottom w:val="single" w:sz="6" w:space="1" w:color="auto"/>
      </w:pBdr>
      <w:tabs>
        <w:tab w:val="center" w:pos="4153"/>
        <w:tab w:val="right" w:pos="8306"/>
      </w:tabs>
      <w:snapToGrid w:val="0"/>
      <w:jc w:val="center"/>
    </w:pPr>
    <w:rPr>
      <w:sz w:val="18"/>
      <w:szCs w:val="18"/>
    </w:rPr>
  </w:style>
  <w:style w:type="paragraph" w:styleId="a4">
    <w:name w:val="footer"/>
    <w:basedOn w:val="a"/>
    <w:rsid w:val="00152195"/>
    <w:pPr>
      <w:tabs>
        <w:tab w:val="center" w:pos="4153"/>
        <w:tab w:val="right" w:pos="8306"/>
      </w:tabs>
      <w:snapToGrid w:val="0"/>
      <w:jc w:val="left"/>
    </w:pPr>
    <w:rPr>
      <w:sz w:val="18"/>
      <w:szCs w:val="18"/>
    </w:rPr>
  </w:style>
  <w:style w:type="character" w:styleId="a5">
    <w:name w:val="Strong"/>
    <w:basedOn w:val="a0"/>
    <w:rsid w:val="00152195"/>
    <w:rPr>
      <w:b/>
      <w:bCs/>
    </w:rPr>
  </w:style>
  <w:style w:type="paragraph" w:customStyle="1" w:styleId="Default">
    <w:name w:val="Default"/>
    <w:next w:val="a3"/>
    <w:rsid w:val="00152195"/>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2017-10-27T09:52:00Z</dcterms:created>
  <dcterms:modified xsi:type="dcterms:W3CDTF">2017-03-14T06:41:00Z</dcterms:modified>
</cp:coreProperties>
</file>