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廊坊市广阳区教育局2017年部门预算公开情况说明</w:t>
      </w:r>
    </w:p>
    <w:p>
      <w:pPr>
        <w:widowControl/>
        <w:spacing w:line="360" w:lineRule="atLeast"/>
        <w:jc w:val="center"/>
        <w:rPr>
          <w:rFonts w:ascii="方正小标宋简体" w:eastAsia="方正小标宋简体" w:cs="宋体"/>
          <w:color w:val="000000"/>
          <w:kern w:val="0"/>
          <w:sz w:val="44"/>
          <w:szCs w:val="44"/>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bookmarkStart w:id="0" w:name="_GoBack"/>
      <w:bookmarkEnd w:id="0"/>
      <w:r>
        <w:rPr>
          <w:rFonts w:hint="eastAsia" w:ascii="仿宋_GB2312" w:eastAsia="仿宋_GB2312" w:cs="宋体"/>
          <w:color w:val="000000"/>
          <w:kern w:val="0"/>
          <w:sz w:val="32"/>
          <w:szCs w:val="32"/>
        </w:rPr>
        <w:t>预算法》、《地方预决算公开操作规程》和《河北省省级预算公开办法》规定，现将廊坊市广阳区水务局2017年部门预算公开如下：</w:t>
      </w:r>
    </w:p>
    <w:p>
      <w:pPr>
        <w:widowControl/>
        <w:numPr>
          <w:ilvl w:val="0"/>
          <w:numId w:val="1"/>
        </w:numPr>
        <w:spacing w:line="360" w:lineRule="atLeast"/>
        <w:jc w:val="left"/>
        <w:rPr>
          <w:rFonts w:ascii="黑体" w:eastAsia="黑体" w:cs="宋体"/>
          <w:color w:val="000000"/>
          <w:kern w:val="0"/>
          <w:sz w:val="32"/>
          <w:szCs w:val="32"/>
        </w:rPr>
      </w:pPr>
      <w:r>
        <w:rPr>
          <w:rFonts w:hint="eastAsia" w:ascii="黑体" w:eastAsia="黑体" w:cs="宋体"/>
          <w:color w:val="000000"/>
          <w:kern w:val="0"/>
          <w:sz w:val="32"/>
          <w:szCs w:val="32"/>
        </w:rPr>
        <w:t xml:space="preserve">部门职责及机构设置情况    </w:t>
      </w:r>
    </w:p>
    <w:p>
      <w:pPr>
        <w:widowControl/>
        <w:spacing w:line="360" w:lineRule="atLeast"/>
        <w:ind w:left="64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贯彻执行党和国家的教育方针、政策和法规，研究草拟地方性教育有关规定，并组织实施。</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研究、提出教育事业的发展规划、年度计划、教育体制改革及教育发展方向、重点、结构、速度的思路和策略，并协调指导实施。负责普通及成人高等中等专业学校招生考试、自学考试和高中毕业会考、初中考试和高中阶段学校招生等管理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综合管理基础教育、中等专业教育、职业与成人教育和幼儿教育工作；指导办学体制和学校内部体制改革；指导各类学校学生学籍管理等工作；负责指导各类学校思想政治工作、德育工作；体育卫生与艺术教育工作；国防教育工作；教育教学发展和研究及教育信息化工程实施工作；指导语言文字规范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（四）会同有关部门做学校布局和设置、教育经费筹措、教育拨款、教育投资及学校收费；代管区教育基金会日常工作。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（五）督查本区各地对教育法律、法规、方针、政策以及教育拨款，教育经费的执行使用情况；督查各有关单位履行教育职责和巩固提高“两基”工作；督导、评估办学水平和教育质量。</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规划并指导各类学校教师队伍建设工作；配合有关部门做好教师的培养培训、招聘、调配、晋升提拔作用工作；指导实施各级各类教师资格制度；负责教师初级职称评审和初中、小学、幼儿园教师资格认定送审上报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（七）协调有关部门做学校的统战、治安、保卫和社团管理工作。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（八）承办区政府和上级部门交办的其他事项。</w:t>
      </w:r>
    </w:p>
    <w:p>
      <w:pPr>
        <w:widowControl/>
        <w:spacing w:line="360" w:lineRule="atLeast"/>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p>
      <w:pPr>
        <w:widowControl/>
        <w:spacing w:line="360" w:lineRule="atLeast"/>
        <w:ind w:firstLine="480" w:firstLineChars="150"/>
        <w:jc w:val="left"/>
        <w:rPr>
          <w:rFonts w:ascii="仿宋_GB2312" w:eastAsia="仿宋_GB2312"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7"/>
        <w:gridCol w:w="1107"/>
        <w:gridCol w:w="1236"/>
        <w:gridCol w:w="2788"/>
        <w:gridCol w:w="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Header/>
          <w:tblCellSpacing w:w="0" w:type="dxa"/>
          <w:jc w:val="center"/>
        </w:trPr>
        <w:tc>
          <w:tcPr>
            <w:tcW w:w="444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4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9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仿宋_GB2312" w:cs="宋体"/>
                <w:b/>
                <w:bCs/>
                <w:kern w:val="0"/>
                <w:sz w:val="32"/>
                <w:szCs w:val="32"/>
              </w:rPr>
            </w:pPr>
            <w:r>
              <w:rPr>
                <w:rFonts w:ascii="宋体" w:hAnsi="宋体" w:eastAsia="仿宋_GB2312" w:cs="宋体"/>
                <w:b/>
                <w:bCs/>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仿宋_GB2312" w:cs="宋体"/>
                <w:b/>
                <w:bCs/>
                <w:kern w:val="0"/>
                <w:sz w:val="32"/>
                <w:szCs w:val="32"/>
              </w:rPr>
            </w:pPr>
            <w:r>
              <w:rPr>
                <w:rFonts w:ascii="宋体" w:hAnsi="宋体" w:eastAsia="仿宋_GB2312" w:cs="宋体"/>
                <w:b/>
                <w:bCs/>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廊坊市广阳区教育局</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广阳区第一幼儿园</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广阳区第二幼儿园</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广阳区第三幼儿园</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广阳区第四幼儿园</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广阳区第五幼儿园</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廊坊市第二小学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廊坊市逸夫小学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廊坊市第四小学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廊坊市第六小学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廊坊市第八小学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廊坊市第九小学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廊坊市第十小学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廊坊市第十一小学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廊坊市第十二小学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廊坊市第十三小学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廊坊市第十五小学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廊坊市第三中学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廊坊市第六中学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廊坊市第九中学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廊坊市第十一中学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廊坊市第四职业中学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广阳区教师进修学校</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廊坊市第二十五小学</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1、收入说明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2017年预算收入26711.9万元，其中：一般公共预算收入26711.9万元，政府性基金收入0万元。</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2、支出说明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2017年支出预算26711.9万元，其中基本支出22718.90万元，包括人员经费和日常公用经费；项目支出3993万元，主要为城乡义务教育省级补助资金和城乡义务教育中央补助资金。</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2017年预算收支安排26711.9万元，较2016年预算增加5823.93万元，其中：基本支出增加3462.74万元，主要为增加人员经费支出；项目支出增加2361.19万元，主要为下达城乡义务教育中央补助及新招聘教师项目支出。</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2017年预算安排我部门机关运行经费895.24万元，其中办公经费4.47万元，其他业务费890.77万元。</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们将继续完善教育基础设施，推荐学校建设，加快提升装备水平；打算一流教师队伍，补充师资力量，提高专业素质，完善考核机制；优化教育教学管理；促进各类教育协调发展；营造和谐稳定的发展环境；开创党建工作新局面。</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一：全面贯彻党和国家的教育方针、政策，贯彻实施国家有关教育的法律、法规和规章，研究制定全区教育工作的地方性行政措施并监督执行。</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二： 研究全区教育发展战略思路，统筹规划、协调指导全区教育体制和办学体制等方面的改革；研究制定全区教育事业的发展规划及年度计划，并组织实施。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 综合管理全区基础教育(含学前教育)、职业教育以及扫盲等工作；负责全区中小学幼儿园和市区初中的设立与变更；负责全区新生录取和学籍管理工作；负责教育督导、评估与检查。</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四：统筹管理本部门教育经费；提出预算内教育经费预算方案的建议；协同财政部门指导和管理学校的财务工作；组织协调学校教育经费的审计监督工作。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2"/>
        <w:gridCol w:w="1150"/>
        <w:gridCol w:w="990"/>
        <w:gridCol w:w="1790"/>
        <w:gridCol w:w="1790"/>
        <w:gridCol w:w="1310"/>
        <w:gridCol w:w="1310"/>
        <w:gridCol w:w="1150"/>
        <w:gridCol w:w="6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430廊坊市广阳区教育局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学前教育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实施学前教育重点项目，支持和引导扩大学前教育资源，缓解当前存在的“入园难”、“入园贵”问题。</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增强资金配置的科学性，提高幼儿园入园率和扩大在园幼儿数,有效缓解“入园难”、“入园贵”等问题。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扩大教育资源</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扩大学前教育资源，保证园舍的安全，配备必要的玩教具、保教和生活设施设备，加强教师专业技术和职业素质的培训及提高，提升学前教育水平。对偏远地区适龄儿童和家长提供灵活多样的学前教育巡回指导。帮助家庭经济困难儿童、孤儿和残疾儿童接受普惠性学前教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在园幼儿数达到</w:t>
            </w:r>
            <w:r>
              <w:rPr>
                <w:rFonts w:ascii="宋体" w:hAnsi="宋体" w:eastAsia="仿宋_GB2312" w:cs="宋体"/>
                <w:kern w:val="0"/>
                <w:sz w:val="32"/>
                <w:szCs w:val="32"/>
              </w:rPr>
              <w:t xml:space="preserve">   </w:t>
            </w:r>
            <w:r>
              <w:rPr>
                <w:rFonts w:hint="eastAsia" w:ascii="仿宋_GB2312" w:eastAsia="仿宋_GB2312" w:cs="宋体"/>
                <w:kern w:val="0"/>
                <w:sz w:val="32"/>
                <w:szCs w:val="32"/>
              </w:rPr>
              <w:t>人数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增加农村公办幼儿园数量。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增加城市幼儿园数量。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完成校园无线办公、教学网络全覆盖，完善校园基础设施建设。使无线网络覆盖率达到90%以上。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0.7</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完善校园的基础设施，补充必要的学习、运动和生活设施。全面优化幼儿的学习和生活环境。</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购置科学、全面、安全的教育教学材料，包括教学资料、图书、教具、玩具等。购置优质、安全的幼儿生活用品，选择正规供货渠道。商品合格率需达到100%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组织教师继续教育培训活动1次，集体培训活动至少2次，骨干教师培训和专项培训若干次，教育管理者培训3次以上。人均参加培训率要达到95%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0.7</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组织开展丰富多彩的教师、幼儿主题活动10次以上。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实施民办幼儿园综合奖补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结合学前教育工作开展情况，给予适当奖励性补助，用于支持普惠性民办幼儿园支付园舍租金，补充玩教具、保教和生活设施设备、校舍维修改造、弥补公用经费不足等。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促使民办幼儿园提供普惠性服务，促使民办幼儿园自主发展，提高办园质量与水平，从而真正实现公办民办并举的学前教育体制，保障适龄儿童接受基本的、有质量的学前教育。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幼儿毛入园率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实施学前教育资助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普惠性幼儿园在园的孤儿、烈士子女，优抚、低保家庭子女，纳入农村特困救助范围的家庭子女，父母一方死亡、离异的单亲贫困家庭子女，因受灾、疾病等原因导致家庭经济困难的儿童以及残疾儿童予以资助。</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帮助家庭经济困难儿童、孤儿和残疾儿童接受普惠性学前教育。</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适龄儿童毛入园率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义务教育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2172.00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提高义务教育公用经费保障水平，改善办学条件，均衡配置基础教育资源，缩小城乡、区域、校际之间办学差距，推进标准化学校建设，实施数字化校园建设，加强学校文化建设，落实学生资助政策。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发展城市义务教育</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503.00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免除城市区中小学生学杂费，提高公用经费保障水平，为贫困中小学生免费提供教科书，对接收进城务工农民工子女的学校进行补助。改善城区中小学办学条件。</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保障中小学公用经费水平逐年提高，解决大班额问题及入学难问题。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增加中小学</w:t>
            </w:r>
            <w:r>
              <w:rPr>
                <w:rFonts w:ascii="宋体" w:hAnsi="宋体" w:eastAsia="仿宋_GB2312" w:cs="宋体"/>
                <w:kern w:val="0"/>
                <w:sz w:val="32"/>
                <w:szCs w:val="32"/>
              </w:rPr>
              <w:t xml:space="preserve">  </w:t>
            </w:r>
            <w:r>
              <w:rPr>
                <w:rFonts w:hint="eastAsia" w:ascii="仿宋_GB2312" w:eastAsia="仿宋_GB2312" w:cs="宋体"/>
                <w:kern w:val="0"/>
                <w:sz w:val="32"/>
                <w:szCs w:val="32"/>
              </w:rPr>
              <w:t>所</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小学入学率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初中入学率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接受进城务工随迁子女就学人数（万人）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发展农村义务教育</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1669.00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推进农村义务教育经费保障机制改革，提高农村中小学公用经费水平，完善校舍维修改造长效机制，补助贫困寄宿生活生活费，为农村学生免费提供教科书。</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保障农村中小学正常运转，保证学校校舍安全，资助家庭经济困难寄宿学生，向农村义务教育学生免费提供教科书</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全市补助贫困寄宿生生活费人数比例达到23%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完成比例23%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完成比例17%</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完成比例17%以下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所有农村义务教育学生免费提供教科书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发放比例100%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发放比例95%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发放比例90%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发放比例90%以下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改善薄弱学校办学条件</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保障义务教育阶段学校基本教学条件，改善学校生活设施，保障后勤社会化服务，解决学校大班额问题，开展学生社会实践活动，建立学生实践教育基地，推进学校教育信息化。</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使义务教育学校教学设施和生活设施满足基本教学需要，保障后勤社会化服务资金充足，使学校能够正常运转，超大班额现象基本消除，教师数量、素质、结构基本适应教学需要。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新建、改建、扩建义务教育学校。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小学生生均设备金额</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小学生生均校舍面积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初中生均设备金额</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初中生均校舍面积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提升特殊教育保障水平</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保证教学设备设施配备齐全，保障学生校园安全，支持贫困学生和爱心家园学生完成学业。</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改善办学条件，配置基础教育资源</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资源配置率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开展教师教研及学生德育活动</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开展各类课题研究、校本研究，加强教师培训和教学交流，加强德育培训与研究，举办各类教育教学活动。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提高教师教学水平，调动教师积极性，培养专家型教师人才，提高学生的综合素质。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师生优秀率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普通高中教育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执行普通高中国家助学金制度，改善普通高中办学条件，建立学生社会实践教育基地。</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改善办学条件，均衡配置基础教育资源，推进标准化学校建设，实施数字化校园建设，加强学校文化建设，并落实学生资助政策。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改善办学条件和学生资助</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改善高中学校办学条件，保障后勤社会化服务，对贫困高中学生发放助学金，建立学生社会实践教育基地。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为社会化服务提供资金保障，推动高中教育发展，扩大高中教育规模；确保贫困高中学生顺利完成学业，为高等学校输送合格人才。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高中毛入学率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资助高中贫困学生数比例达到20%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完成比例17%</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完成比例14%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完成比例14%以下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职业教育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大力发展职业教育，坚持以就业为导向，深化职业教育教学改革，增强职业教育发展活力。</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改善职业院校办学条件，建设职业教育实训基地，深化校企合作、产教融合，落实学生资助、奖励政策。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提高中职学校办学能力</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改善职业学校办学条件；落实中等职业学校免学费政策，资助家庭经济困难学生。</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职业学校办学水平和综合实力进一步提高，职业教育为全市经济社会发展服务的能力进一步增强；按国家标准科学、准确测算，及时拨付免学费资金和发放助学金。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校舍维修改造平米数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实训室及教学平台更新改造个数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安监系统更新改造数量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落实免学费资金、国家助学金政策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困难学生辍学率（%）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10%以下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20%以下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30%以下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提升教育教学服务水平</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提高教育教学水平；提升服务管理水平；提高服务区域经济发展的能力。</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深化校企合作立足廊坊，服务京津冀协同发展的能力进一步提高；教育教学服务管理水平进一步提高。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就业率（%）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社会培训人次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成人和民办教育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加强民办教育的统筹规划和管理，完善民办教育政策措施，规范办学秩序，促进民办教育事业发展。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构建学习型社会，发展成人教育、继续教育，促进民办教育发展，提高民办学校办学质量。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实施民办学校综合奖补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完善促进民办教育发展的优惠政策。对各类民办学校（幼儿园）管理者进行政策法规培训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展民办非义务教育和多种形式的职业技能培训，办好一批高水平民办学校，科学、公平、合理确定民办学校奖励范围。对各类民办学校（幼儿园）管理者进行政策法规培训，实现举办者依法规范办学，教育行政执法人员依法行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培训民办学校（幼儿园）管理者</w:t>
            </w:r>
            <w:r>
              <w:rPr>
                <w:rFonts w:ascii="宋体" w:hAnsi="宋体" w:eastAsia="仿宋_GB2312" w:cs="宋体"/>
                <w:kern w:val="0"/>
                <w:sz w:val="32"/>
                <w:szCs w:val="32"/>
              </w:rPr>
              <w:t xml:space="preserve">   </w:t>
            </w:r>
            <w:r>
              <w:rPr>
                <w:rFonts w:hint="eastAsia" w:ascii="仿宋_GB2312" w:eastAsia="仿宋_GB2312" w:cs="宋体"/>
                <w:kern w:val="0"/>
                <w:sz w:val="32"/>
                <w:szCs w:val="32"/>
              </w:rPr>
              <w:t>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社区教育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利用电大教育平台开展社区教育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提高社区居民幸福指数</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　开展社区教育规模2　社区教育满意度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≥10000≥90%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≥8000≥80%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≥5000≥70%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＜5000＜70%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学历教育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利用开放教育、网络教育平台，发展学历教育</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完成教学任务，提高公民受教育水平。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　校本部招生规模2　县级电大招生规模2　教学质量优秀率3　学生毕业率4　困难学生辍学率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≥800≥1500≥20%≥85%＜5%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≥600≥1000≥15%≥70%＜8%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≥400≥600≥10%≥50%＜10%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＜400＜600＜10%＜50%≥10%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教师队伍建设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1621.00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组织开展教师和行政干部队伍建设工作。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完成中小学骨干、学科教师培训，高层次、优秀人才引进计划，聘请中小学高水平高素质教师来我校任教，提高特殊群体教师待遇。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教师培养与培训</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46.00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开展幼儿园骨干教师，中小学骨干、学科教师，特教学校教师，中小学校长等专项培训，完成中小学教师国家级培训计划。开展学校安全管理人员业务培训和法制培训。</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培训中小学骨干教师、学科教师等</w:t>
            </w:r>
            <w:r>
              <w:rPr>
                <w:rFonts w:ascii="宋体" w:hAnsi="宋体" w:eastAsia="仿宋_GB2312" w:cs="宋体"/>
                <w:kern w:val="0"/>
                <w:sz w:val="32"/>
                <w:szCs w:val="32"/>
              </w:rPr>
              <w:t xml:space="preserve">   </w:t>
            </w:r>
            <w:r>
              <w:rPr>
                <w:rFonts w:hint="eastAsia" w:ascii="仿宋_GB2312" w:eastAsia="仿宋_GB2312" w:cs="宋体"/>
                <w:kern w:val="0"/>
                <w:sz w:val="32"/>
                <w:szCs w:val="32"/>
              </w:rPr>
              <w:t>人才，提高中小学教师的业务水平和教学能力。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培训合格率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培训中小学校长</w:t>
            </w:r>
            <w:r>
              <w:rPr>
                <w:rFonts w:ascii="宋体" w:hAnsi="宋体" w:eastAsia="仿宋_GB2312" w:cs="宋体"/>
                <w:kern w:val="0"/>
                <w:sz w:val="32"/>
                <w:szCs w:val="32"/>
              </w:rPr>
              <w:t xml:space="preserve">   </w:t>
            </w:r>
            <w:r>
              <w:rPr>
                <w:rFonts w:hint="eastAsia" w:ascii="仿宋_GB2312" w:eastAsia="仿宋_GB2312" w:cs="宋体"/>
                <w:kern w:val="0"/>
                <w:sz w:val="32"/>
                <w:szCs w:val="32"/>
              </w:rPr>
              <w:t>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到位率达到90%以上，结业率达到95%以上。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到位率达到85%以上，结业率达到90%以上。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到位率达到80%以上，结业率达到85%以上。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到位率达到70%以上，结业率达到75%以上。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高水平人才培养与引进</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1575.00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为教师发展创造条件，鼓励教师积极参加各级各类的教学活动，提供展示自我的舞台，培养省市级名师和特级教师，并建立高水平人才引进机制。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培养高层次人才和优秀创新团队数</w:t>
            </w:r>
            <w:r>
              <w:rPr>
                <w:rFonts w:ascii="宋体" w:hAnsi="宋体" w:eastAsia="仿宋_GB2312" w:cs="宋体"/>
                <w:kern w:val="0"/>
                <w:sz w:val="32"/>
                <w:szCs w:val="32"/>
              </w:rPr>
              <w:t xml:space="preserve">   </w:t>
            </w:r>
            <w:r>
              <w:rPr>
                <w:rFonts w:hint="eastAsia" w:ascii="仿宋_GB2312" w:eastAsia="仿宋_GB2312" w:cs="宋体"/>
                <w:kern w:val="0"/>
                <w:sz w:val="32"/>
                <w:szCs w:val="32"/>
              </w:rPr>
              <w:t>个，验收优秀率达到</w:t>
            </w:r>
            <w:r>
              <w:rPr>
                <w:rFonts w:ascii="宋体" w:hAnsi="宋体" w:eastAsia="仿宋_GB2312" w:cs="宋体"/>
                <w:kern w:val="0"/>
                <w:sz w:val="32"/>
                <w:szCs w:val="32"/>
              </w:rPr>
              <w:t xml:space="preserve">   </w:t>
            </w:r>
            <w:r>
              <w:rPr>
                <w:rFonts w:hint="eastAsia" w:ascii="仿宋_GB2312" w:eastAsia="仿宋_GB2312" w:cs="宋体"/>
                <w:kern w:val="0"/>
                <w:sz w:val="32"/>
                <w:szCs w:val="32"/>
              </w:rPr>
              <w:t>%,培养具有创新能力的高水平教学人才队伍，构建科学合理的队伍结构。</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引进高层次人才人数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教研与科研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开展科研工作，以科研促教学。</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培养高层次人才和培养具有创新能力的高水平科研人才队伍。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研究成果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≥3≥3≥3</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≥2≥2≥2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≥1≥1≥1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提高教师待遇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为保证教师队伍稳定性及教学工作的顺利开展，提高在编教师及外聘教师待遇。</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提高全体教师待遇。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待遇发放到位率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教育政务管理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负责教育系统综合业务管理和机关综合事务管理。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依法行政，构建人民群众满意、勤政廉洁的政府部门；保障工作正常高效运行，相关工作顺利开展。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做好教育政策制定、教育改革、教育科研、教育信息化建设等工作。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做好各项教育管理工作。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局机关职能执行率，在活动中的获奖率与参与度。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大于80%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介于80%和70%之间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介于70%和50之间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小于50%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综合事物管理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做好会议培训组织，内部信息化建设与维护，财务和资产管理，标准化建设，基础设施维修，大型设备购置，人事、党务以及老干部管理等工作。负责直属企事业单位管理工作。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各职能自定正常运转率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4"/>
                <w:szCs w:val="24"/>
              </w:rPr>
            </w:pPr>
            <w:r>
              <w:rPr>
                <w:rFonts w:hint="eastAsia" w:ascii="仿宋_GB2312" w:eastAsia="仿宋_GB2312" w:cs="宋体"/>
                <w:color w:val="000000"/>
                <w:kern w:val="0"/>
                <w:sz w:val="24"/>
                <w:szCs w:val="24"/>
              </w:rPr>
              <w:t>廊坊市广阳区</w:t>
            </w:r>
            <w:r>
              <w:rPr>
                <w:rFonts w:ascii="仿宋_GB2312" w:eastAsia="仿宋_GB2312" w:cs="宋体"/>
                <w:color w:val="000000"/>
                <w:kern w:val="0"/>
                <w:sz w:val="24"/>
                <w:szCs w:val="24"/>
              </w:rPr>
              <w:t>教育局</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4"/>
                <w:szCs w:val="24"/>
              </w:rPr>
            </w:pPr>
            <w:r>
              <w:rPr>
                <w:rFonts w:hint="eastAsia" w:ascii="仿宋_GB2312" w:eastAsia="仿宋_GB2312"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单价</w:t>
            </w:r>
          </w:p>
        </w:tc>
        <w:tc>
          <w:tcPr>
            <w:tcW w:w="2104" w:type="pct"/>
            <w:gridSpan w:val="7"/>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总计</w:t>
            </w:r>
          </w:p>
        </w:tc>
        <w:tc>
          <w:tcPr>
            <w:tcW w:w="1508" w:type="pct"/>
            <w:gridSpan w:val="5"/>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合计</w:t>
            </w:r>
          </w:p>
        </w:tc>
        <w:tc>
          <w:tcPr>
            <w:tcW w:w="309"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一般公共预算拨款</w:t>
            </w:r>
          </w:p>
        </w:tc>
        <w:tc>
          <w:tcPr>
            <w:tcW w:w="281"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基金预算拨款</w:t>
            </w:r>
          </w:p>
        </w:tc>
        <w:tc>
          <w:tcPr>
            <w:tcW w:w="303"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财政专户核拨</w:t>
            </w:r>
          </w:p>
        </w:tc>
        <w:tc>
          <w:tcPr>
            <w:tcW w:w="303"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合　计</w:t>
            </w:r>
          </w:p>
        </w:tc>
        <w:tc>
          <w:tcPr>
            <w:tcW w:w="367" w:type="pct"/>
            <w:shd w:val="clear" w:color="auto" w:fill="auto"/>
            <w:vAlign w:val="center"/>
          </w:tcPr>
          <w:p>
            <w:pPr>
              <w:spacing w:line="300" w:lineRule="exact"/>
              <w:jc w:val="right"/>
              <w:rPr>
                <w:rFonts w:ascii="仿宋_GB2312" w:eastAsia="仿宋_GB2312" w:cs="Times New Roman"/>
                <w:b/>
                <w:sz w:val="24"/>
                <w:szCs w:val="24"/>
              </w:rPr>
            </w:pPr>
          </w:p>
        </w:tc>
        <w:tc>
          <w:tcPr>
            <w:tcW w:w="302" w:type="pct"/>
            <w:shd w:val="clear" w:color="auto" w:fill="auto"/>
            <w:vAlign w:val="center"/>
          </w:tcPr>
          <w:p>
            <w:pPr>
              <w:spacing w:line="300" w:lineRule="exact"/>
              <w:jc w:val="left"/>
              <w:rPr>
                <w:rFonts w:ascii="仿宋_GB2312" w:eastAsia="仿宋_GB2312" w:cs="Times New Roman"/>
                <w:b/>
                <w:sz w:val="24"/>
                <w:szCs w:val="24"/>
              </w:rPr>
            </w:pPr>
          </w:p>
        </w:tc>
        <w:tc>
          <w:tcPr>
            <w:tcW w:w="481" w:type="pct"/>
            <w:shd w:val="clear" w:color="auto" w:fill="auto"/>
            <w:vAlign w:val="center"/>
          </w:tcPr>
          <w:p>
            <w:pPr>
              <w:spacing w:line="300" w:lineRule="exact"/>
              <w:jc w:val="left"/>
              <w:rPr>
                <w:rFonts w:ascii="仿宋_GB2312" w:eastAsia="仿宋_GB2312" w:cs="Times New Roman"/>
                <w:b/>
                <w:sz w:val="24"/>
                <w:szCs w:val="24"/>
              </w:rPr>
            </w:pPr>
          </w:p>
        </w:tc>
        <w:tc>
          <w:tcPr>
            <w:tcW w:w="302" w:type="pct"/>
            <w:shd w:val="clear" w:color="auto" w:fill="auto"/>
            <w:vAlign w:val="center"/>
          </w:tcPr>
          <w:p>
            <w:pPr>
              <w:spacing w:line="300" w:lineRule="exact"/>
              <w:jc w:val="left"/>
              <w:rPr>
                <w:rFonts w:ascii="仿宋_GB2312" w:eastAsia="仿宋_GB2312" w:cs="Times New Roman"/>
                <w:b/>
                <w:sz w:val="24"/>
                <w:szCs w:val="24"/>
              </w:rPr>
            </w:pPr>
          </w:p>
        </w:tc>
        <w:tc>
          <w:tcPr>
            <w:tcW w:w="302" w:type="pct"/>
            <w:shd w:val="clear" w:color="auto" w:fill="auto"/>
            <w:vAlign w:val="center"/>
          </w:tcPr>
          <w:p>
            <w:pPr>
              <w:spacing w:line="300" w:lineRule="exact"/>
              <w:jc w:val="right"/>
              <w:rPr>
                <w:rFonts w:ascii="仿宋_GB2312" w:eastAsia="仿宋_GB2312" w:cs="Times New Roman"/>
                <w:b/>
                <w:sz w:val="24"/>
                <w:szCs w:val="24"/>
              </w:rPr>
            </w:pPr>
          </w:p>
        </w:tc>
        <w:tc>
          <w:tcPr>
            <w:tcW w:w="310" w:type="pct"/>
            <w:shd w:val="clear" w:color="auto" w:fill="auto"/>
            <w:vAlign w:val="center"/>
          </w:tcPr>
          <w:p>
            <w:pPr>
              <w:spacing w:line="300" w:lineRule="exact"/>
              <w:jc w:val="right"/>
              <w:rPr>
                <w:rFonts w:ascii="仿宋_GB2312" w:eastAsia="仿宋_GB2312" w:cs="Times New Roman"/>
                <w:b/>
                <w:sz w:val="24"/>
                <w:szCs w:val="24"/>
              </w:rPr>
            </w:pPr>
          </w:p>
        </w:tc>
        <w:tc>
          <w:tcPr>
            <w:tcW w:w="309" w:type="pct"/>
            <w:shd w:val="clear" w:color="auto" w:fill="auto"/>
            <w:vAlign w:val="center"/>
          </w:tcPr>
          <w:p>
            <w:pPr>
              <w:spacing w:line="300" w:lineRule="exact"/>
              <w:jc w:val="right"/>
              <w:rPr>
                <w:rFonts w:ascii="仿宋_GB2312" w:eastAsia="仿宋_GB2312" w:cs="Times New Roman"/>
                <w:b/>
                <w:sz w:val="24"/>
                <w:szCs w:val="24"/>
              </w:rPr>
            </w:pPr>
          </w:p>
        </w:tc>
        <w:tc>
          <w:tcPr>
            <w:tcW w:w="309" w:type="pct"/>
            <w:shd w:val="clear" w:color="auto" w:fill="auto"/>
            <w:vAlign w:val="center"/>
          </w:tcPr>
          <w:p>
            <w:pPr>
              <w:spacing w:line="300" w:lineRule="exact"/>
              <w:jc w:val="right"/>
              <w:rPr>
                <w:rFonts w:ascii="仿宋_GB2312" w:eastAsia="仿宋_GB2312" w:cs="Times New Roman"/>
                <w:b/>
                <w:sz w:val="24"/>
                <w:szCs w:val="24"/>
              </w:rPr>
            </w:pPr>
          </w:p>
        </w:tc>
        <w:tc>
          <w:tcPr>
            <w:tcW w:w="309" w:type="pct"/>
            <w:shd w:val="clear" w:color="auto" w:fill="auto"/>
            <w:vAlign w:val="center"/>
          </w:tcPr>
          <w:p>
            <w:pPr>
              <w:spacing w:line="300" w:lineRule="exact"/>
              <w:jc w:val="right"/>
              <w:rPr>
                <w:rFonts w:ascii="仿宋_GB2312" w:eastAsia="仿宋_GB2312" w:cs="Times New Roman"/>
                <w:b/>
                <w:sz w:val="24"/>
                <w:szCs w:val="24"/>
              </w:rPr>
            </w:pPr>
          </w:p>
        </w:tc>
        <w:tc>
          <w:tcPr>
            <w:tcW w:w="281" w:type="pct"/>
            <w:shd w:val="clear" w:color="auto" w:fill="auto"/>
            <w:vAlign w:val="center"/>
          </w:tcPr>
          <w:p>
            <w:pPr>
              <w:spacing w:line="300" w:lineRule="exact"/>
              <w:jc w:val="right"/>
              <w:rPr>
                <w:rFonts w:ascii="仿宋_GB2312" w:eastAsia="仿宋_GB2312" w:cs="Times New Roman"/>
                <w:b/>
                <w:sz w:val="24"/>
                <w:szCs w:val="24"/>
              </w:rPr>
            </w:pPr>
          </w:p>
        </w:tc>
        <w:tc>
          <w:tcPr>
            <w:tcW w:w="303" w:type="pct"/>
            <w:shd w:val="clear" w:color="auto" w:fill="auto"/>
            <w:vAlign w:val="center"/>
          </w:tcPr>
          <w:p>
            <w:pPr>
              <w:spacing w:line="300" w:lineRule="exact"/>
              <w:jc w:val="right"/>
              <w:rPr>
                <w:rFonts w:ascii="仿宋_GB2312" w:eastAsia="仿宋_GB2312" w:cs="Times New Roman"/>
                <w:b/>
                <w:sz w:val="24"/>
                <w:szCs w:val="24"/>
              </w:rPr>
            </w:pPr>
          </w:p>
        </w:tc>
        <w:tc>
          <w:tcPr>
            <w:tcW w:w="303" w:type="pct"/>
            <w:shd w:val="clear" w:color="auto" w:fill="auto"/>
            <w:vAlign w:val="center"/>
          </w:tcPr>
          <w:p>
            <w:pPr>
              <w:spacing w:line="300" w:lineRule="exact"/>
              <w:jc w:val="right"/>
              <w:rPr>
                <w:rFonts w:ascii="仿宋_GB2312" w:eastAsia="仿宋_GB2312" w:cs="Times New Roman"/>
                <w:b/>
                <w:sz w:val="24"/>
                <w:szCs w:val="24"/>
              </w:rPr>
            </w:pPr>
          </w:p>
        </w:tc>
        <w:tc>
          <w:tcPr>
            <w:tcW w:w="285" w:type="pct"/>
            <w:shd w:val="clear" w:color="auto" w:fill="auto"/>
            <w:vAlign w:val="center"/>
          </w:tcPr>
          <w:p>
            <w:pPr>
              <w:spacing w:line="300" w:lineRule="exact"/>
              <w:jc w:val="right"/>
              <w:rPr>
                <w:rFonts w:ascii="仿宋_GB2312" w:eastAsia="仿宋_GB2312"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24"/>
                <w:szCs w:val="24"/>
              </w:rPr>
            </w:pPr>
          </w:p>
        </w:tc>
        <w:tc>
          <w:tcPr>
            <w:tcW w:w="367" w:type="pct"/>
            <w:shd w:val="clear" w:color="auto" w:fill="auto"/>
            <w:vAlign w:val="center"/>
          </w:tcPr>
          <w:p>
            <w:pPr>
              <w:spacing w:line="300" w:lineRule="exact"/>
              <w:jc w:val="right"/>
              <w:rPr>
                <w:rFonts w:ascii="仿宋_GB2312" w:eastAsia="仿宋_GB2312" w:cs="Times New Roman"/>
                <w:b/>
                <w:sz w:val="24"/>
                <w:szCs w:val="24"/>
              </w:rPr>
            </w:pPr>
          </w:p>
        </w:tc>
        <w:tc>
          <w:tcPr>
            <w:tcW w:w="302" w:type="pct"/>
            <w:shd w:val="clear" w:color="auto" w:fill="auto"/>
            <w:vAlign w:val="center"/>
          </w:tcPr>
          <w:p>
            <w:pPr>
              <w:spacing w:line="300" w:lineRule="exact"/>
              <w:jc w:val="left"/>
              <w:rPr>
                <w:rFonts w:ascii="仿宋_GB2312" w:eastAsia="仿宋_GB2312" w:cs="Times New Roman"/>
                <w:b/>
                <w:sz w:val="24"/>
                <w:szCs w:val="24"/>
              </w:rPr>
            </w:pPr>
          </w:p>
        </w:tc>
        <w:tc>
          <w:tcPr>
            <w:tcW w:w="481" w:type="pct"/>
            <w:shd w:val="clear" w:color="auto" w:fill="auto"/>
            <w:vAlign w:val="center"/>
          </w:tcPr>
          <w:p>
            <w:pPr>
              <w:spacing w:line="300" w:lineRule="exact"/>
              <w:jc w:val="left"/>
              <w:rPr>
                <w:rFonts w:ascii="仿宋_GB2312" w:eastAsia="仿宋_GB2312" w:cs="Times New Roman"/>
                <w:b/>
                <w:sz w:val="24"/>
                <w:szCs w:val="24"/>
              </w:rPr>
            </w:pPr>
          </w:p>
        </w:tc>
        <w:tc>
          <w:tcPr>
            <w:tcW w:w="302" w:type="pct"/>
            <w:shd w:val="clear" w:color="auto" w:fill="auto"/>
            <w:vAlign w:val="center"/>
          </w:tcPr>
          <w:p>
            <w:pPr>
              <w:spacing w:line="300" w:lineRule="exact"/>
              <w:jc w:val="left"/>
              <w:rPr>
                <w:rFonts w:ascii="仿宋_GB2312" w:eastAsia="仿宋_GB2312" w:cs="Times New Roman"/>
                <w:b/>
                <w:sz w:val="24"/>
                <w:szCs w:val="24"/>
              </w:rPr>
            </w:pPr>
          </w:p>
        </w:tc>
        <w:tc>
          <w:tcPr>
            <w:tcW w:w="302" w:type="pct"/>
            <w:shd w:val="clear" w:color="auto" w:fill="auto"/>
            <w:vAlign w:val="center"/>
          </w:tcPr>
          <w:p>
            <w:pPr>
              <w:spacing w:line="300" w:lineRule="exact"/>
              <w:jc w:val="right"/>
              <w:rPr>
                <w:rFonts w:ascii="仿宋_GB2312" w:eastAsia="仿宋_GB2312" w:cs="Times New Roman"/>
                <w:b/>
                <w:sz w:val="24"/>
                <w:szCs w:val="24"/>
              </w:rPr>
            </w:pPr>
          </w:p>
        </w:tc>
        <w:tc>
          <w:tcPr>
            <w:tcW w:w="310" w:type="pct"/>
            <w:shd w:val="clear" w:color="auto" w:fill="auto"/>
            <w:vAlign w:val="center"/>
          </w:tcPr>
          <w:p>
            <w:pPr>
              <w:spacing w:line="300" w:lineRule="exact"/>
              <w:jc w:val="right"/>
              <w:rPr>
                <w:rFonts w:ascii="仿宋_GB2312" w:eastAsia="仿宋_GB2312" w:cs="Times New Roman"/>
                <w:b/>
                <w:sz w:val="24"/>
                <w:szCs w:val="24"/>
              </w:rPr>
            </w:pPr>
          </w:p>
        </w:tc>
        <w:tc>
          <w:tcPr>
            <w:tcW w:w="309" w:type="pct"/>
            <w:shd w:val="clear" w:color="auto" w:fill="auto"/>
            <w:vAlign w:val="center"/>
          </w:tcPr>
          <w:p>
            <w:pPr>
              <w:spacing w:line="300" w:lineRule="exact"/>
              <w:jc w:val="right"/>
              <w:rPr>
                <w:rFonts w:ascii="仿宋_GB2312" w:eastAsia="仿宋_GB2312" w:cs="Times New Roman"/>
                <w:b/>
                <w:sz w:val="24"/>
                <w:szCs w:val="24"/>
              </w:rPr>
            </w:pPr>
          </w:p>
        </w:tc>
        <w:tc>
          <w:tcPr>
            <w:tcW w:w="309" w:type="pct"/>
            <w:shd w:val="clear" w:color="auto" w:fill="auto"/>
            <w:vAlign w:val="center"/>
          </w:tcPr>
          <w:p>
            <w:pPr>
              <w:spacing w:line="300" w:lineRule="exact"/>
              <w:jc w:val="right"/>
              <w:rPr>
                <w:rFonts w:ascii="仿宋_GB2312" w:eastAsia="仿宋_GB2312" w:cs="Times New Roman"/>
                <w:b/>
                <w:sz w:val="24"/>
                <w:szCs w:val="24"/>
              </w:rPr>
            </w:pPr>
          </w:p>
        </w:tc>
        <w:tc>
          <w:tcPr>
            <w:tcW w:w="309" w:type="pct"/>
            <w:shd w:val="clear" w:color="auto" w:fill="auto"/>
            <w:vAlign w:val="center"/>
          </w:tcPr>
          <w:p>
            <w:pPr>
              <w:spacing w:line="300" w:lineRule="exact"/>
              <w:jc w:val="right"/>
              <w:rPr>
                <w:rFonts w:ascii="仿宋_GB2312" w:eastAsia="仿宋_GB2312" w:cs="Times New Roman"/>
                <w:b/>
                <w:sz w:val="24"/>
                <w:szCs w:val="24"/>
              </w:rPr>
            </w:pPr>
          </w:p>
        </w:tc>
        <w:tc>
          <w:tcPr>
            <w:tcW w:w="281" w:type="pct"/>
            <w:shd w:val="clear" w:color="auto" w:fill="auto"/>
            <w:vAlign w:val="center"/>
          </w:tcPr>
          <w:p>
            <w:pPr>
              <w:spacing w:line="300" w:lineRule="exact"/>
              <w:jc w:val="right"/>
              <w:rPr>
                <w:rFonts w:ascii="仿宋_GB2312" w:eastAsia="仿宋_GB2312" w:cs="Times New Roman"/>
                <w:b/>
                <w:sz w:val="24"/>
                <w:szCs w:val="24"/>
              </w:rPr>
            </w:pPr>
          </w:p>
        </w:tc>
        <w:tc>
          <w:tcPr>
            <w:tcW w:w="303" w:type="pct"/>
            <w:shd w:val="clear" w:color="auto" w:fill="auto"/>
            <w:vAlign w:val="center"/>
          </w:tcPr>
          <w:p>
            <w:pPr>
              <w:spacing w:line="300" w:lineRule="exact"/>
              <w:jc w:val="right"/>
              <w:rPr>
                <w:rFonts w:ascii="仿宋_GB2312" w:eastAsia="仿宋_GB2312" w:cs="Times New Roman"/>
                <w:b/>
                <w:sz w:val="24"/>
                <w:szCs w:val="24"/>
              </w:rPr>
            </w:pPr>
          </w:p>
        </w:tc>
        <w:tc>
          <w:tcPr>
            <w:tcW w:w="303" w:type="pct"/>
            <w:shd w:val="clear" w:color="auto" w:fill="auto"/>
            <w:vAlign w:val="center"/>
          </w:tcPr>
          <w:p>
            <w:pPr>
              <w:spacing w:line="300" w:lineRule="exact"/>
              <w:jc w:val="right"/>
              <w:rPr>
                <w:rFonts w:ascii="仿宋_GB2312" w:eastAsia="仿宋_GB2312" w:cs="Times New Roman"/>
                <w:b/>
                <w:sz w:val="24"/>
                <w:szCs w:val="24"/>
              </w:rPr>
            </w:pPr>
          </w:p>
        </w:tc>
        <w:tc>
          <w:tcPr>
            <w:tcW w:w="285" w:type="pct"/>
            <w:shd w:val="clear" w:color="auto" w:fill="auto"/>
            <w:vAlign w:val="center"/>
          </w:tcPr>
          <w:p>
            <w:pPr>
              <w:spacing w:line="300" w:lineRule="exact"/>
              <w:jc w:val="right"/>
              <w:rPr>
                <w:rFonts w:ascii="仿宋_GB2312" w:eastAsia="仿宋_GB2312"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24"/>
                <w:szCs w:val="24"/>
              </w:rPr>
            </w:pPr>
          </w:p>
        </w:tc>
        <w:tc>
          <w:tcPr>
            <w:tcW w:w="367" w:type="pct"/>
            <w:shd w:val="clear" w:color="auto" w:fill="auto"/>
            <w:vAlign w:val="center"/>
          </w:tcPr>
          <w:p>
            <w:pPr>
              <w:spacing w:line="300" w:lineRule="exact"/>
              <w:jc w:val="right"/>
              <w:rPr>
                <w:rFonts w:ascii="仿宋_GB2312" w:eastAsia="仿宋_GB2312" w:cs="Times New Roman"/>
                <w:sz w:val="24"/>
                <w:szCs w:val="24"/>
              </w:rPr>
            </w:pPr>
          </w:p>
        </w:tc>
        <w:tc>
          <w:tcPr>
            <w:tcW w:w="302" w:type="pct"/>
            <w:shd w:val="clear" w:color="auto" w:fill="auto"/>
            <w:vAlign w:val="center"/>
          </w:tcPr>
          <w:p>
            <w:pPr>
              <w:spacing w:line="300" w:lineRule="exact"/>
              <w:jc w:val="left"/>
              <w:rPr>
                <w:rFonts w:ascii="仿宋_GB2312" w:eastAsia="仿宋_GB2312" w:cs="Times New Roman"/>
                <w:sz w:val="24"/>
                <w:szCs w:val="24"/>
              </w:rPr>
            </w:pPr>
          </w:p>
        </w:tc>
        <w:tc>
          <w:tcPr>
            <w:tcW w:w="481" w:type="pct"/>
            <w:shd w:val="clear" w:color="auto" w:fill="auto"/>
            <w:vAlign w:val="center"/>
          </w:tcPr>
          <w:p>
            <w:pPr>
              <w:spacing w:line="300" w:lineRule="exact"/>
              <w:jc w:val="left"/>
              <w:rPr>
                <w:rFonts w:ascii="仿宋_GB2312" w:eastAsia="仿宋_GB2312" w:cs="Times New Roman"/>
                <w:sz w:val="24"/>
                <w:szCs w:val="24"/>
              </w:rPr>
            </w:pPr>
          </w:p>
        </w:tc>
        <w:tc>
          <w:tcPr>
            <w:tcW w:w="302" w:type="pct"/>
            <w:shd w:val="clear" w:color="auto" w:fill="auto"/>
            <w:vAlign w:val="center"/>
          </w:tcPr>
          <w:p>
            <w:pPr>
              <w:spacing w:line="300" w:lineRule="exact"/>
              <w:jc w:val="left"/>
              <w:rPr>
                <w:rFonts w:ascii="仿宋_GB2312" w:eastAsia="仿宋_GB2312" w:cs="Times New Roman"/>
                <w:sz w:val="24"/>
                <w:szCs w:val="24"/>
              </w:rPr>
            </w:pPr>
          </w:p>
        </w:tc>
        <w:tc>
          <w:tcPr>
            <w:tcW w:w="302" w:type="pct"/>
            <w:shd w:val="clear" w:color="auto" w:fill="auto"/>
            <w:vAlign w:val="center"/>
          </w:tcPr>
          <w:p>
            <w:pPr>
              <w:spacing w:line="300" w:lineRule="exact"/>
              <w:jc w:val="right"/>
              <w:rPr>
                <w:rFonts w:ascii="仿宋_GB2312" w:eastAsia="仿宋_GB2312" w:cs="Times New Roman"/>
                <w:sz w:val="24"/>
                <w:szCs w:val="24"/>
              </w:rPr>
            </w:pPr>
          </w:p>
        </w:tc>
        <w:tc>
          <w:tcPr>
            <w:tcW w:w="310" w:type="pct"/>
            <w:shd w:val="clear" w:color="auto" w:fill="auto"/>
            <w:vAlign w:val="center"/>
          </w:tcPr>
          <w:p>
            <w:pPr>
              <w:spacing w:line="300" w:lineRule="exact"/>
              <w:jc w:val="right"/>
              <w:rPr>
                <w:rFonts w:ascii="仿宋_GB2312" w:eastAsia="仿宋_GB2312" w:cs="Times New Roman"/>
                <w:sz w:val="24"/>
                <w:szCs w:val="24"/>
              </w:rPr>
            </w:pPr>
          </w:p>
        </w:tc>
        <w:tc>
          <w:tcPr>
            <w:tcW w:w="309" w:type="pct"/>
            <w:shd w:val="clear" w:color="auto" w:fill="auto"/>
            <w:vAlign w:val="center"/>
          </w:tcPr>
          <w:p>
            <w:pPr>
              <w:spacing w:line="300" w:lineRule="exact"/>
              <w:jc w:val="right"/>
              <w:rPr>
                <w:rFonts w:ascii="仿宋_GB2312" w:eastAsia="仿宋_GB2312" w:cs="Times New Roman"/>
                <w:sz w:val="24"/>
                <w:szCs w:val="24"/>
              </w:rPr>
            </w:pPr>
          </w:p>
        </w:tc>
        <w:tc>
          <w:tcPr>
            <w:tcW w:w="309" w:type="pct"/>
            <w:shd w:val="clear" w:color="auto" w:fill="auto"/>
            <w:vAlign w:val="center"/>
          </w:tcPr>
          <w:p>
            <w:pPr>
              <w:spacing w:line="300" w:lineRule="exact"/>
              <w:jc w:val="right"/>
              <w:rPr>
                <w:rFonts w:ascii="仿宋_GB2312" w:eastAsia="仿宋_GB2312" w:cs="Times New Roman"/>
                <w:sz w:val="24"/>
                <w:szCs w:val="24"/>
              </w:rPr>
            </w:pPr>
          </w:p>
        </w:tc>
        <w:tc>
          <w:tcPr>
            <w:tcW w:w="309" w:type="pct"/>
            <w:shd w:val="clear" w:color="auto" w:fill="auto"/>
            <w:vAlign w:val="center"/>
          </w:tcPr>
          <w:p>
            <w:pPr>
              <w:spacing w:line="300" w:lineRule="exact"/>
              <w:jc w:val="right"/>
              <w:rPr>
                <w:rFonts w:ascii="仿宋_GB2312" w:eastAsia="仿宋_GB2312" w:cs="Times New Roman"/>
                <w:sz w:val="24"/>
                <w:szCs w:val="24"/>
              </w:rPr>
            </w:pPr>
          </w:p>
        </w:tc>
        <w:tc>
          <w:tcPr>
            <w:tcW w:w="281" w:type="pct"/>
            <w:shd w:val="clear" w:color="auto" w:fill="auto"/>
            <w:vAlign w:val="center"/>
          </w:tcPr>
          <w:p>
            <w:pPr>
              <w:spacing w:line="300" w:lineRule="exact"/>
              <w:jc w:val="right"/>
              <w:rPr>
                <w:rFonts w:ascii="仿宋_GB2312" w:eastAsia="仿宋_GB2312" w:cs="Times New Roman"/>
                <w:sz w:val="24"/>
                <w:szCs w:val="24"/>
              </w:rPr>
            </w:pPr>
          </w:p>
        </w:tc>
        <w:tc>
          <w:tcPr>
            <w:tcW w:w="303" w:type="pct"/>
            <w:shd w:val="clear" w:color="auto" w:fill="auto"/>
            <w:vAlign w:val="center"/>
          </w:tcPr>
          <w:p>
            <w:pPr>
              <w:spacing w:line="300" w:lineRule="exact"/>
              <w:jc w:val="right"/>
              <w:rPr>
                <w:rFonts w:ascii="仿宋_GB2312" w:eastAsia="仿宋_GB2312" w:cs="Times New Roman"/>
                <w:sz w:val="24"/>
                <w:szCs w:val="24"/>
              </w:rPr>
            </w:pPr>
          </w:p>
        </w:tc>
        <w:tc>
          <w:tcPr>
            <w:tcW w:w="303" w:type="pct"/>
            <w:shd w:val="clear" w:color="auto" w:fill="auto"/>
            <w:vAlign w:val="center"/>
          </w:tcPr>
          <w:p>
            <w:pPr>
              <w:spacing w:line="300" w:lineRule="exact"/>
              <w:jc w:val="right"/>
              <w:rPr>
                <w:rFonts w:ascii="仿宋_GB2312" w:eastAsia="仿宋_GB2312" w:cs="Times New Roman"/>
                <w:sz w:val="24"/>
                <w:szCs w:val="24"/>
              </w:rPr>
            </w:pPr>
          </w:p>
        </w:tc>
        <w:tc>
          <w:tcPr>
            <w:tcW w:w="285" w:type="pct"/>
            <w:shd w:val="clear" w:color="auto" w:fill="auto"/>
            <w:vAlign w:val="center"/>
          </w:tcPr>
          <w:p>
            <w:pPr>
              <w:spacing w:line="300" w:lineRule="exact"/>
              <w:jc w:val="right"/>
              <w:rPr>
                <w:rFonts w:ascii="仿宋_GB2312"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24"/>
                <w:szCs w:val="24"/>
              </w:rPr>
            </w:pPr>
          </w:p>
        </w:tc>
        <w:tc>
          <w:tcPr>
            <w:tcW w:w="367" w:type="pct"/>
            <w:shd w:val="clear" w:color="auto" w:fill="auto"/>
            <w:vAlign w:val="center"/>
          </w:tcPr>
          <w:p>
            <w:pPr>
              <w:spacing w:line="300" w:lineRule="exact"/>
              <w:jc w:val="right"/>
              <w:rPr>
                <w:rFonts w:ascii="仿宋_GB2312" w:eastAsia="仿宋_GB2312" w:cs="Times New Roman"/>
                <w:sz w:val="24"/>
                <w:szCs w:val="24"/>
              </w:rPr>
            </w:pPr>
          </w:p>
        </w:tc>
        <w:tc>
          <w:tcPr>
            <w:tcW w:w="302" w:type="pct"/>
            <w:shd w:val="clear" w:color="auto" w:fill="auto"/>
            <w:vAlign w:val="center"/>
          </w:tcPr>
          <w:p>
            <w:pPr>
              <w:spacing w:line="300" w:lineRule="exact"/>
              <w:jc w:val="left"/>
              <w:rPr>
                <w:rFonts w:ascii="仿宋_GB2312" w:eastAsia="仿宋_GB2312" w:cs="Times New Roman"/>
                <w:sz w:val="24"/>
                <w:szCs w:val="24"/>
              </w:rPr>
            </w:pPr>
          </w:p>
        </w:tc>
        <w:tc>
          <w:tcPr>
            <w:tcW w:w="481" w:type="pct"/>
            <w:shd w:val="clear" w:color="auto" w:fill="auto"/>
            <w:vAlign w:val="center"/>
          </w:tcPr>
          <w:p>
            <w:pPr>
              <w:spacing w:line="300" w:lineRule="exact"/>
              <w:jc w:val="left"/>
              <w:rPr>
                <w:rFonts w:ascii="仿宋_GB2312" w:eastAsia="仿宋_GB2312" w:cs="Times New Roman"/>
                <w:sz w:val="24"/>
                <w:szCs w:val="24"/>
              </w:rPr>
            </w:pPr>
          </w:p>
        </w:tc>
        <w:tc>
          <w:tcPr>
            <w:tcW w:w="302" w:type="pct"/>
            <w:shd w:val="clear" w:color="auto" w:fill="auto"/>
            <w:vAlign w:val="center"/>
          </w:tcPr>
          <w:p>
            <w:pPr>
              <w:spacing w:line="300" w:lineRule="exact"/>
              <w:jc w:val="left"/>
              <w:rPr>
                <w:rFonts w:ascii="仿宋_GB2312" w:eastAsia="仿宋_GB2312" w:cs="Times New Roman"/>
                <w:sz w:val="24"/>
                <w:szCs w:val="24"/>
              </w:rPr>
            </w:pPr>
          </w:p>
        </w:tc>
        <w:tc>
          <w:tcPr>
            <w:tcW w:w="302" w:type="pct"/>
            <w:shd w:val="clear" w:color="auto" w:fill="auto"/>
            <w:vAlign w:val="center"/>
          </w:tcPr>
          <w:p>
            <w:pPr>
              <w:spacing w:line="300" w:lineRule="exact"/>
              <w:jc w:val="right"/>
              <w:rPr>
                <w:rFonts w:ascii="仿宋_GB2312" w:eastAsia="仿宋_GB2312" w:cs="Times New Roman"/>
                <w:sz w:val="24"/>
                <w:szCs w:val="24"/>
              </w:rPr>
            </w:pPr>
          </w:p>
        </w:tc>
        <w:tc>
          <w:tcPr>
            <w:tcW w:w="310" w:type="pct"/>
            <w:shd w:val="clear" w:color="auto" w:fill="auto"/>
            <w:vAlign w:val="center"/>
          </w:tcPr>
          <w:p>
            <w:pPr>
              <w:spacing w:line="300" w:lineRule="exact"/>
              <w:jc w:val="right"/>
              <w:rPr>
                <w:rFonts w:ascii="仿宋_GB2312" w:eastAsia="仿宋_GB2312" w:cs="Times New Roman"/>
                <w:sz w:val="24"/>
                <w:szCs w:val="24"/>
              </w:rPr>
            </w:pPr>
          </w:p>
        </w:tc>
        <w:tc>
          <w:tcPr>
            <w:tcW w:w="309" w:type="pct"/>
            <w:shd w:val="clear" w:color="auto" w:fill="auto"/>
            <w:vAlign w:val="center"/>
          </w:tcPr>
          <w:p>
            <w:pPr>
              <w:spacing w:line="300" w:lineRule="exact"/>
              <w:jc w:val="right"/>
              <w:rPr>
                <w:rFonts w:ascii="仿宋_GB2312" w:eastAsia="仿宋_GB2312" w:cs="Times New Roman"/>
                <w:sz w:val="24"/>
                <w:szCs w:val="24"/>
              </w:rPr>
            </w:pPr>
          </w:p>
        </w:tc>
        <w:tc>
          <w:tcPr>
            <w:tcW w:w="309" w:type="pct"/>
            <w:shd w:val="clear" w:color="auto" w:fill="auto"/>
            <w:vAlign w:val="center"/>
          </w:tcPr>
          <w:p>
            <w:pPr>
              <w:spacing w:line="300" w:lineRule="exact"/>
              <w:jc w:val="right"/>
              <w:rPr>
                <w:rFonts w:ascii="仿宋_GB2312" w:eastAsia="仿宋_GB2312" w:cs="Times New Roman"/>
                <w:sz w:val="24"/>
                <w:szCs w:val="24"/>
              </w:rPr>
            </w:pPr>
          </w:p>
        </w:tc>
        <w:tc>
          <w:tcPr>
            <w:tcW w:w="309" w:type="pct"/>
            <w:shd w:val="clear" w:color="auto" w:fill="auto"/>
            <w:vAlign w:val="center"/>
          </w:tcPr>
          <w:p>
            <w:pPr>
              <w:spacing w:line="300" w:lineRule="exact"/>
              <w:jc w:val="right"/>
              <w:rPr>
                <w:rFonts w:ascii="仿宋_GB2312" w:eastAsia="仿宋_GB2312" w:cs="Times New Roman"/>
                <w:sz w:val="24"/>
                <w:szCs w:val="24"/>
              </w:rPr>
            </w:pPr>
          </w:p>
        </w:tc>
        <w:tc>
          <w:tcPr>
            <w:tcW w:w="281" w:type="pct"/>
            <w:shd w:val="clear" w:color="auto" w:fill="auto"/>
            <w:vAlign w:val="center"/>
          </w:tcPr>
          <w:p>
            <w:pPr>
              <w:spacing w:line="300" w:lineRule="exact"/>
              <w:jc w:val="right"/>
              <w:rPr>
                <w:rFonts w:ascii="仿宋_GB2312" w:eastAsia="仿宋_GB2312" w:cs="Times New Roman"/>
                <w:sz w:val="24"/>
                <w:szCs w:val="24"/>
              </w:rPr>
            </w:pPr>
          </w:p>
        </w:tc>
        <w:tc>
          <w:tcPr>
            <w:tcW w:w="303" w:type="pct"/>
            <w:shd w:val="clear" w:color="auto" w:fill="auto"/>
            <w:vAlign w:val="center"/>
          </w:tcPr>
          <w:p>
            <w:pPr>
              <w:spacing w:line="300" w:lineRule="exact"/>
              <w:jc w:val="right"/>
              <w:rPr>
                <w:rFonts w:ascii="仿宋_GB2312" w:eastAsia="仿宋_GB2312" w:cs="Times New Roman"/>
                <w:sz w:val="24"/>
                <w:szCs w:val="24"/>
              </w:rPr>
            </w:pPr>
          </w:p>
        </w:tc>
        <w:tc>
          <w:tcPr>
            <w:tcW w:w="303" w:type="pct"/>
            <w:shd w:val="clear" w:color="auto" w:fill="auto"/>
            <w:vAlign w:val="center"/>
          </w:tcPr>
          <w:p>
            <w:pPr>
              <w:spacing w:line="300" w:lineRule="exact"/>
              <w:jc w:val="right"/>
              <w:rPr>
                <w:rFonts w:ascii="仿宋_GB2312" w:eastAsia="仿宋_GB2312" w:cs="Times New Roman"/>
                <w:sz w:val="24"/>
                <w:szCs w:val="24"/>
              </w:rPr>
            </w:pPr>
          </w:p>
        </w:tc>
        <w:tc>
          <w:tcPr>
            <w:tcW w:w="285" w:type="pct"/>
            <w:shd w:val="clear" w:color="auto" w:fill="auto"/>
            <w:vAlign w:val="center"/>
          </w:tcPr>
          <w:p>
            <w:pPr>
              <w:spacing w:line="300" w:lineRule="exact"/>
              <w:jc w:val="right"/>
              <w:rPr>
                <w:rFonts w:ascii="仿宋_GB2312" w:eastAsia="仿宋_GB2312" w:cs="Times New Roman"/>
                <w:sz w:val="24"/>
                <w:szCs w:val="24"/>
              </w:rPr>
            </w:pPr>
          </w:p>
        </w:tc>
      </w:tr>
    </w:tbl>
    <w:p>
      <w:pPr>
        <w:widowControl/>
        <w:spacing w:line="360" w:lineRule="atLeast"/>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七、国有资产信息</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我部门（含所属单位）上年末固定资产金额为11689.75万元，我部门本年度无拟购置固定资产，详见下表。</w:t>
      </w:r>
    </w:p>
    <w:tbl>
      <w:tblPr>
        <w:tblStyle w:val="4"/>
        <w:tblW w:w="1083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06"/>
        <w:gridCol w:w="2513"/>
        <w:gridCol w:w="42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866"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645"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廊坊市广阳区教育局</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xml:space="preserve">   </w:t>
            </w:r>
            <w:r>
              <w:rPr>
                <w:rFonts w:hint="eastAsia" w:ascii="仿宋_GB2312" w:eastAsia="仿宋_GB2312" w:cs="宋体"/>
                <w:b/>
                <w:bCs/>
                <w:kern w:val="0"/>
                <w:sz w:val="32"/>
                <w:szCs w:val="32"/>
              </w:rPr>
              <w:t>目</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11689.75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100270.2</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6495.07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xml:space="preserve">   </w:t>
            </w:r>
            <w:r>
              <w:rPr>
                <w:rFonts w:hint="eastAsia" w:ascii="仿宋_GB2312" w:eastAsia="仿宋_GB2312" w:cs="宋体"/>
                <w:kern w:val="0"/>
                <w:sz w:val="32"/>
                <w:szCs w:val="32"/>
              </w:rPr>
              <w:t>其中：办公用房（平方米）</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97629.2</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6369.12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10</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119.34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17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48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4236"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5075.34</w:t>
            </w:r>
          </w:p>
        </w:tc>
      </w:tr>
    </w:tbl>
    <w:p>
      <w:pPr>
        <w:widowControl/>
        <w:spacing w:line="360" w:lineRule="atLeast"/>
        <w:ind w:firstLine="640" w:firstLineChars="200"/>
        <w:rPr>
          <w:rFonts w:ascii="仿宋_GB2312" w:eastAsia="仿宋_GB2312"/>
          <w:b/>
          <w:bCs/>
          <w:sz w:val="32"/>
          <w:szCs w:val="32"/>
        </w:rPr>
      </w:pPr>
      <w:r>
        <w:rPr>
          <w:rFonts w:hint="eastAsia" w:ascii="黑体" w:eastAsia="黑体" w:cs="宋体"/>
          <w:color w:val="000000"/>
          <w:kern w:val="0"/>
          <w:sz w:val="32"/>
          <w:szCs w:val="32"/>
        </w:rPr>
        <w:t>八、名词解释</w:t>
      </w:r>
      <w:r>
        <w:rPr>
          <w:rFonts w:hint="eastAsia" w:ascii="黑体" w:eastAsia="黑体" w:cs="宋体"/>
          <w:color w:val="000000"/>
          <w:kern w:val="0"/>
          <w:sz w:val="32"/>
          <w:szCs w:val="32"/>
        </w:rPr>
        <w:br w:type="textWrapping"/>
      </w:r>
      <w:r>
        <w:rPr>
          <w:rFonts w:hint="eastAsia"/>
          <w:b/>
          <w:bCs/>
          <w:sz w:val="32"/>
          <w:szCs w:val="32"/>
        </w:rPr>
        <w:t xml:space="preserve">  </w:t>
      </w:r>
      <w:r>
        <w:rPr>
          <w:b/>
          <w:bCs/>
          <w:sz w:val="32"/>
          <w:szCs w:val="32"/>
        </w:rPr>
        <w:t xml:space="preserve"> </w:t>
      </w:r>
      <w:r>
        <w:rPr>
          <w:rFonts w:hint="eastAsia"/>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九、其它需要说明的事项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DAA3E"/>
    <w:multiLevelType w:val="multilevel"/>
    <w:tmpl w:val="7A6DAA3E"/>
    <w:lvl w:ilvl="0" w:tentative="0">
      <w:start w:val="1"/>
      <w:numFmt w:val="chineseCountingThousand"/>
      <w:lvlText w:val="%1、"/>
      <w:lvlJc w:val="left"/>
      <w:pPr>
        <w:tabs>
          <w:tab w:val="left" w:pos="1290"/>
        </w:tabs>
        <w:ind w:left="1290" w:hanging="650"/>
      </w:pPr>
      <w:rPr>
        <w:b/>
        <w:bCs/>
        <w:i w:val="0"/>
        <w:iCs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C7495"/>
    <w:rsid w:val="001134D3"/>
    <w:rsid w:val="002C7495"/>
    <w:rsid w:val="00F57C17"/>
    <w:rsid w:val="1922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92</Pages>
  <Words>1275</Words>
  <Characters>7269</Characters>
  <Lines>60</Lines>
  <Paragraphs>17</Paragraphs>
  <TotalTime>7</TotalTime>
  <ScaleCrop>false</ScaleCrop>
  <LinksUpToDate>false</LinksUpToDate>
  <CharactersWithSpaces>8527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2017-10-27T09:38:00Z</dcterms:created>
  <dc:creator>lenovo</dc:creator>
  <cp:lastModifiedBy>Administrator</cp:lastModifiedBy>
  <dcterms:modified xsi:type="dcterms:W3CDTF">2024-01-18T02:06:30Z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958D87290C04491A83FB9A98B83E3987</vt:lpwstr>
  </property>
</Properties>
</file>