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廊坊市广阳区建设局2017年部门预算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jc w:val="center"/>
        <w:rPr>
          <w:rFonts w:ascii="方正小标宋简体" w:eastAsia="方正小标宋简体" w:cs="宋体"/>
          <w:b/>
          <w:bCs/>
          <w:color w:val="000000"/>
          <w:kern w:val="0"/>
          <w:sz w:val="44"/>
          <w:szCs w:val="44"/>
        </w:rPr>
      </w:pP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廊坊市广阳区建设局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1、负责辖区范围建筑市场管理、稽查工作以及办理工程施工许可证；</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2、负责辖区范围办理质量监督备案、安全生产监督备案的建设工程项目实施监督管理；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3、负责全区村镇建设工作；</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4、负责组织广阳区城市棚户区城（旧）改（危陋住宅区）居民调查摸底和登记建档、编制广阳区城市棚户区（危陋住宅区）改造计划和项目实施方案、拆迁成本核算、等项工作；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5、组织开展全区人民防空宣传教育，负责全区的防空规划；</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6、负责广阳区住房保障工作、广阳区危旧房屋管理工作、做好广阳区供暖服务、做好已售直管公房的公共部位和公共设施的维修管理工作；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7、做好区政府交办的其它工作。</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0"/>
          <w:szCs w:val="30"/>
        </w:rPr>
      </w:pPr>
      <w:r>
        <w:rPr>
          <w:rFonts w:hint="eastAsia" w:ascii="宋体" w:hAnsi="宋体" w:eastAsia="仿宋_GB2312" w:cs="宋体"/>
          <w:color w:val="000000"/>
          <w:kern w:val="0"/>
          <w:sz w:val="30"/>
          <w:szCs w:val="30"/>
        </w:rPr>
        <w:t xml:space="preserve">    </w:t>
      </w:r>
      <w:r>
        <w:rPr>
          <w:rFonts w:hint="eastAsia" w:ascii="仿宋_GB2312" w:eastAsia="仿宋_GB2312" w:cs="宋体"/>
          <w:color w:val="000000"/>
          <w:kern w:val="0"/>
          <w:sz w:val="30"/>
          <w:szCs w:val="30"/>
        </w:rPr>
        <w:t>部门机构设置情况</w:t>
      </w:r>
    </w:p>
    <w:tbl>
      <w:tblPr>
        <w:tblStyle w:val="4"/>
        <w:tblW w:w="952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8"/>
        <w:gridCol w:w="1285"/>
        <w:gridCol w:w="1481"/>
        <w:gridCol w:w="24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0"/>
                <w:szCs w:val="30"/>
              </w:rPr>
            </w:pPr>
            <w:r>
              <w:rPr>
                <w:rFonts w:hint="eastAsia" w:ascii="仿宋_GB2312" w:eastAsia="仿宋_GB2312" w:cs="宋体"/>
                <w:b/>
                <w:bCs/>
                <w:kern w:val="0"/>
                <w:sz w:val="30"/>
                <w:szCs w:val="30"/>
              </w:rPr>
              <w:t>单位名称</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0"/>
                <w:szCs w:val="30"/>
              </w:rPr>
            </w:pPr>
            <w:r>
              <w:rPr>
                <w:rFonts w:hint="eastAsia" w:ascii="仿宋_GB2312" w:eastAsia="仿宋_GB2312" w:cs="宋体"/>
                <w:b/>
                <w:bCs/>
                <w:kern w:val="0"/>
                <w:sz w:val="30"/>
                <w:szCs w:val="30"/>
              </w:rPr>
              <w:t>单位性质</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0"/>
                <w:szCs w:val="30"/>
              </w:rPr>
            </w:pPr>
            <w:r>
              <w:rPr>
                <w:rFonts w:hint="eastAsia" w:ascii="仿宋_GB2312" w:eastAsia="仿宋_GB2312" w:cs="宋体"/>
                <w:b/>
                <w:bCs/>
                <w:kern w:val="0"/>
                <w:sz w:val="30"/>
                <w:szCs w:val="30"/>
              </w:rPr>
              <w:t>单位规格</w:t>
            </w:r>
          </w:p>
        </w:tc>
        <w:tc>
          <w:tcPr>
            <w:tcW w:w="247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0"/>
                <w:szCs w:val="30"/>
              </w:rPr>
            </w:pPr>
            <w:r>
              <w:rPr>
                <w:rFonts w:hint="eastAsia" w:ascii="仿宋_GB2312" w:eastAsia="仿宋_GB2312" w:cs="宋体"/>
                <w:b/>
                <w:bCs/>
                <w:kern w:val="0"/>
                <w:sz w:val="30"/>
                <w:szCs w:val="30"/>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3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0"/>
                <w:szCs w:val="30"/>
              </w:rPr>
            </w:pPr>
            <w:r>
              <w:rPr>
                <w:rFonts w:hint="eastAsia" w:ascii="仿宋_GB2312" w:eastAsia="仿宋_GB2312" w:cs="宋体"/>
                <w:kern w:val="0"/>
                <w:sz w:val="30"/>
                <w:szCs w:val="30"/>
              </w:rPr>
              <w:t>廊坊市广阳区建设局</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0"/>
                <w:szCs w:val="30"/>
              </w:rPr>
            </w:pPr>
            <w:r>
              <w:rPr>
                <w:rFonts w:hint="eastAsia" w:ascii="仿宋_GB2312" w:eastAsia="仿宋_GB2312" w:cs="宋体"/>
                <w:kern w:val="0"/>
                <w:sz w:val="30"/>
                <w:szCs w:val="30"/>
              </w:rPr>
              <w:t>行政单位</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0"/>
                <w:szCs w:val="30"/>
              </w:rPr>
            </w:pPr>
            <w:r>
              <w:rPr>
                <w:rFonts w:hint="eastAsia" w:ascii="仿宋_GB2312" w:eastAsia="仿宋_GB2312" w:cs="宋体"/>
                <w:kern w:val="0"/>
                <w:sz w:val="30"/>
                <w:szCs w:val="30"/>
              </w:rPr>
              <w:t>正科级</w:t>
            </w:r>
          </w:p>
        </w:tc>
        <w:tc>
          <w:tcPr>
            <w:tcW w:w="247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0"/>
                <w:szCs w:val="30"/>
              </w:rPr>
            </w:pPr>
            <w:r>
              <w:rPr>
                <w:rFonts w:hint="eastAsia" w:ascii="仿宋_GB2312" w:eastAsia="仿宋_GB2312" w:cs="宋体"/>
                <w:kern w:val="0"/>
                <w:sz w:val="30"/>
                <w:szCs w:val="30"/>
              </w:rPr>
              <w:t>财政拨款</w:t>
            </w:r>
          </w:p>
        </w:tc>
      </w:tr>
    </w:tbl>
    <w:p>
      <w:pPr>
        <w:widowControl/>
        <w:spacing w:line="360" w:lineRule="atLeas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2017年预算收入883.42万元，其中：一般公共预算收入883.42万元，政府性基金收入0万元。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2017年支出预算883.42万元，其中基本支出826.83万元，包括人员经费和日常公用经费；项目支出56.59万元，主要为热力人员工资补贴和乡镇建设员工资。</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2017年预算收支安排883.42万元，较2016年预算减少505.81万元，其中：基本支出增加95.43万元，主要为增加人员经费支出；项目支出减少601.24万元，主要为财力紧张预算未安排。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2017年预算安排我部门机关运行经费7.55万元，其中办公经费1.94万元，其他业务费5.61万元。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w:t>
      </w:r>
      <w:r>
        <w:rPr>
          <w:rFonts w:hint="eastAsia" w:ascii="仿宋_GB2312" w:hAnsi="仿宋_GB2312" w:cs="宋体"/>
          <w:color w:val="000000"/>
          <w:kern w:val="0"/>
          <w:sz w:val="32"/>
          <w:szCs w:val="32"/>
        </w:rPr>
        <w:t>〇</w:t>
      </w:r>
      <w:r>
        <w:rPr>
          <w:rFonts w:hint="eastAsia" w:ascii="仿宋_GB2312" w:eastAsia="仿宋_GB2312" w:cs="宋体"/>
          <w:color w:val="000000"/>
          <w:kern w:val="0"/>
          <w:sz w:val="32"/>
          <w:szCs w:val="32"/>
        </w:rPr>
        <w:t>一七年发展规划目标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一是继续加强对建筑业的管理，强化安全生产与质量监督。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二是继续加大整治力度，做美做亮城区环境。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三是继续巩固惠民成果，做细做足民生工程。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四是继续对城中村（旧城）改造项目实行全过程跟踪服务。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五是做好市区审批事项调整的对接工作。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广阳区建设局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部门职责分类绩效目标情况说明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广阳区建设局是区政府主管建设工作的职能部门。主要职责分类绩效情况说明如下：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1、负责辖区范围建筑市场管理、稽查工作以及办理工程施工许可证；</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2、负责辖区范围办理质量监督备案、安全生产监督备案的建设工程项目实施监督管理；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3、负责全区村镇建设工作；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4、负责组织广阳区城市棚户区城（旧）改（危陋住宅区）居民调查摸底和登记建档、编制广阳区城市棚户区（危陋住宅区）改造计划和项目实施方案、拆迁成本核算、等项工作；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5、组织开展全区人民防空宣传教育，负责全区的防空规划；</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6、负责广阳区住房保障工作、广阳区危旧房屋管理工作、做好广阳区供暖服务、做好已售直管公房的公共部位和公共设施的维修管理工作；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7、做好区政府交办的其它工作。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2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6"/>
        <w:gridCol w:w="862"/>
        <w:gridCol w:w="1479"/>
        <w:gridCol w:w="1588"/>
        <w:gridCol w:w="854"/>
        <w:gridCol w:w="1110"/>
        <w:gridCol w:w="990"/>
        <w:gridCol w:w="990"/>
        <w:gridCol w:w="4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7594" w:type="dxa"/>
            <w:gridSpan w:val="5"/>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601廊坊市广阳区建设局</w:t>
            </w:r>
          </w:p>
        </w:tc>
        <w:tc>
          <w:tcPr>
            <w:tcW w:w="2171" w:type="dxa"/>
            <w:gridSpan w:val="4"/>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725" w:type="dxa"/>
            <w:vMerge w:val="restart"/>
            <w:tcBorders>
              <w:bottom w:val="outset" w:color="auto" w:sz="6" w:space="0"/>
            </w:tcBorders>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职责活动</w:t>
            </w:r>
          </w:p>
        </w:tc>
        <w:tc>
          <w:tcPr>
            <w:tcW w:w="964" w:type="dxa"/>
            <w:vMerge w:val="restart"/>
            <w:tcBorders>
              <w:bottom w:val="outset" w:color="auto" w:sz="6" w:space="0"/>
            </w:tcBorders>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年度预算数</w:t>
            </w:r>
          </w:p>
        </w:tc>
        <w:tc>
          <w:tcPr>
            <w:tcW w:w="1902" w:type="dxa"/>
            <w:vMerge w:val="restart"/>
            <w:tcBorders>
              <w:bottom w:val="outset" w:color="auto" w:sz="6" w:space="0"/>
            </w:tcBorders>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内容描述</w:t>
            </w:r>
          </w:p>
        </w:tc>
        <w:tc>
          <w:tcPr>
            <w:tcW w:w="2060" w:type="dxa"/>
            <w:vMerge w:val="restart"/>
            <w:tcBorders>
              <w:bottom w:val="outset" w:color="auto" w:sz="6" w:space="0"/>
            </w:tcBorders>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绩效目标</w:t>
            </w:r>
          </w:p>
        </w:tc>
        <w:tc>
          <w:tcPr>
            <w:tcW w:w="1004" w:type="dxa"/>
            <w:vMerge w:val="restart"/>
            <w:tcBorders>
              <w:bottom w:val="outset" w:color="auto" w:sz="6" w:space="0"/>
            </w:tcBorders>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绩效指标</w:t>
            </w:r>
          </w:p>
        </w:tc>
        <w:tc>
          <w:tcPr>
            <w:tcW w:w="2171" w:type="dxa"/>
            <w:gridSpan w:val="4"/>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611" w:type="dxa"/>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优</w:t>
            </w:r>
          </w:p>
        </w:tc>
        <w:tc>
          <w:tcPr>
            <w:tcW w:w="535" w:type="dxa"/>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良</w:t>
            </w:r>
          </w:p>
        </w:tc>
        <w:tc>
          <w:tcPr>
            <w:tcW w:w="535" w:type="dxa"/>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中</w:t>
            </w:r>
          </w:p>
        </w:tc>
        <w:tc>
          <w:tcPr>
            <w:tcW w:w="535" w:type="dxa"/>
            <w:vAlign w:val="center"/>
          </w:tcPr>
          <w:p>
            <w:pPr>
              <w:widowControl/>
              <w:jc w:val="center"/>
              <w:rPr>
                <w:rFonts w:ascii="仿宋_GB2312" w:eastAsia="仿宋_GB2312" w:cs="宋体"/>
                <w:b/>
                <w:bCs/>
                <w:kern w:val="0"/>
                <w:sz w:val="24"/>
                <w:szCs w:val="24"/>
              </w:rPr>
            </w:pPr>
            <w:r>
              <w:rPr>
                <w:rFonts w:hint="eastAsia" w:ascii="仿宋_GB2312" w:eastAsia="仿宋_GB2312" w:cs="宋体"/>
                <w:b/>
                <w:bCs/>
                <w:kern w:val="0"/>
                <w:sz w:val="24"/>
                <w:szCs w:val="24"/>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住房保障及公积金管理</w:t>
            </w:r>
          </w:p>
        </w:tc>
        <w:tc>
          <w:tcPr>
            <w:tcW w:w="96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8.38</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指导实施住房保障政策；承办城镇保障性安居工程资金安排有关事项；组织编制住房保障建设发展规划和年度计划并组织实施；负责住房制度改革；监督住房公积金和其他住房资金的管理。</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建立城镇住房保障体系，稳妥推进住房制度改革，按照国家要求达到城镇住房保障工作目标，确保住房公积金的有效使用。</w:t>
            </w: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保障性安居工程建设管理</w:t>
            </w:r>
          </w:p>
        </w:tc>
        <w:tc>
          <w:tcPr>
            <w:tcW w:w="964"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8.38</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研究制定保障性安居工程建设规划，拟定年度建设目标并监督实施；承担区保障性安居工程领导小组办公室职责；研究拟定保障性安居工程政策并监督实施，对项目分配、管理和运营情况监督指导；组织实施区保障房建设和管理。</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完成上级确定的城镇保障性安居工程年度建设任务，建立健全公平、公正、公开的分配机制和优质、高效管理服务机制，保障性住房及时分配到位。及时出台政策；妥善处理房改遗留问题，避免产生新的社会矛盾</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保障性住房开工率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保障性住房竣工率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保障性住房分配入住率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住房公积金管理</w:t>
            </w:r>
          </w:p>
        </w:tc>
        <w:tc>
          <w:tcPr>
            <w:tcW w:w="96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会同有关部门拟定住房公积金政策、发展规划并组织实施；拟定住房公积金管理和监督制度；监督住房公积金和其他住房资金的管理、使用。</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建立统一的住房公积金业务规范，住房公积金管理办法和制度不断健全,依法合规有效运作，资金安全管理不断加强</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住房公积金贷款逾期率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城乡规划</w:t>
            </w:r>
          </w:p>
        </w:tc>
        <w:tc>
          <w:tcPr>
            <w:tcW w:w="96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加强城乡规划管理，协调城乡空间布局，改善人居环境，促进城乡经济社会全面协调可持续发展。</w:t>
            </w: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城乡资源保护</w:t>
            </w:r>
          </w:p>
        </w:tc>
        <w:tc>
          <w:tcPr>
            <w:tcW w:w="96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实施城镇古树名木和风景名胜资源保护，加强风景名胜区监测管理；编制历史文化名城名镇名村及传统村落规划，加强保护，对核心保护范围内的历史建筑、传统建筑修缮、基础设施改造和环境综合整治；组织编制国家级风景名胜区规划</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城镇古树名木和风景名胜、历史文化名城和街区得到有效保护</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城镇古树名木、风景名胜、历史文化名城和街区保护工程竣工率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城乡规划制订、实施与监督</w:t>
            </w:r>
          </w:p>
        </w:tc>
        <w:tc>
          <w:tcPr>
            <w:tcW w:w="964" w:type="dxa"/>
            <w:vMerge w:val="restart"/>
            <w:tcBorders>
              <w:bottom w:val="outset" w:color="auto" w:sz="6" w:space="0"/>
            </w:tcBorders>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拟定全区城乡规划管理政策，制定城乡规划技术管理标准和导则；组织区域城镇体系规划等区级层面规划编制，依法编制总体规划、专项规划、控制性详细规划、历史文化名城和街区保护等专项规划。审查、督导依法编制城乡规划；加强和改进规划管理技术手段，对依法批准的城乡规划进行监督实施。</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完成本级规划编制，健全规划体系</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规划完成率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规划审批率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动态监测报告完成率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数字规划建设覆盖率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城乡建设管理</w:t>
            </w:r>
          </w:p>
        </w:tc>
        <w:tc>
          <w:tcPr>
            <w:tcW w:w="96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43.00</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市级重点镇的建设。</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加强管理，提高城市承载能力和宜居度。加强村镇建设，改善农村人居环境，实现城乡统筹发展。协调和指导推进城镇化工作，加快城镇化进程。指导城市建设投融资体制改革，破解融资难题。</w:t>
            </w: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市政公用设施建设与管理</w:t>
            </w:r>
          </w:p>
        </w:tc>
        <w:tc>
          <w:tcPr>
            <w:tcW w:w="964"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30.00</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城市供水、节水、燃气、热力、市政设施、园林、污水处理、垃圾处理等设施建设，指导城市规划区的绿化和生物多样性工作；指导全区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承担国家级、市级风景名胜区、世界自然遗产和世界自然文化双重遗产项目的有关工作。</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指导加强基础设施建设</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基础设施建设工作目标完成量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园林城创建数量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供热计量收费率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城市容貌环境综合整治</w:t>
            </w:r>
          </w:p>
        </w:tc>
        <w:tc>
          <w:tcPr>
            <w:tcW w:w="96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指导城市市容环境治理、城建监察、数字化城市管理系统平台建设及运行等各项工作，加强餐厨废弃物管理，改善人居环境，大气污染治理。</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加快数字化城管平台建设，实现城市管理信息化</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数字化城管平台建设率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推进城镇化建设</w:t>
            </w:r>
          </w:p>
        </w:tc>
        <w:tc>
          <w:tcPr>
            <w:tcW w:w="964"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13.00</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推进城区新区建设与旧城改造，推进小城镇和集镇人居环境改善，指导国家级重点镇及省级重点镇的建设；做好城区规划、环境质量、居住水平、产业聚集、风貌特色、综合管理、城建投融资等指导工作，加快城市建设投融资体制改革，全面推进城区建设上水平；协调和指导推进城镇化工作。</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加强城市无物业老旧小区改造</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危房改造完成率</w:t>
            </w:r>
          </w:p>
        </w:tc>
        <w:tc>
          <w:tcPr>
            <w:tcW w:w="611"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95%以上</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85%—95%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70%—85%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70%以下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垃圾处理率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县城建设工作考核完成率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无物业老旧小区改造完成率</w:t>
            </w:r>
          </w:p>
        </w:tc>
        <w:tc>
          <w:tcPr>
            <w:tcW w:w="611"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90%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70%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建筑业、房地产市场监管</w:t>
            </w:r>
          </w:p>
        </w:tc>
        <w:tc>
          <w:tcPr>
            <w:tcW w:w="96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指导、规范建筑市场、工程造价管理及建筑工程招投标管理，拟订工程建设、建筑业行业发展政策、规章制度并监督执行，拟订工程建设计价依据和管理制度;拟订房地产市场监管政策并监督执行，制订房地产开发、房屋租赁、房屋面积管理、房地产估价与经纪管理、物业管理的规章制度并监督执行。</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规范建筑市场各方主体行为，促进建筑市场健康发展。提高建筑工程质量，减少建筑安全生产事故，提高行业水平。加强市场监测，促进全区房地产市场持续健康发展。</w:t>
            </w: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全区建筑业管理</w:t>
            </w:r>
          </w:p>
        </w:tc>
        <w:tc>
          <w:tcPr>
            <w:tcW w:w="964" w:type="dxa"/>
            <w:vMerge w:val="restart"/>
            <w:tcBorders>
              <w:bottom w:val="outset" w:color="auto" w:sz="6" w:space="0"/>
            </w:tcBorders>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拟定全区工程建设、建筑业发展政策、规章制度并监督执行，规范建筑市场各方主体行为。</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规范建筑市场各方主体行为，促进建筑市场健康发展</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执行农民工工资预储金制度数量</w:t>
            </w:r>
          </w:p>
        </w:tc>
        <w:tc>
          <w:tcPr>
            <w:tcW w:w="611"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90%—100%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85%—90%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80%—85%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计价依据编制完成率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合同履约跟踪管理覆盖率</w:t>
            </w:r>
          </w:p>
        </w:tc>
        <w:tc>
          <w:tcPr>
            <w:tcW w:w="611"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95%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85%—95%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75%—85%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75%以下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房地产市场监管</w:t>
            </w:r>
          </w:p>
        </w:tc>
        <w:tc>
          <w:tcPr>
            <w:tcW w:w="964" w:type="dxa"/>
            <w:vMerge w:val="restart"/>
            <w:tcBorders>
              <w:bottom w:val="outset" w:color="auto" w:sz="6" w:space="0"/>
            </w:tcBorders>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拟定建筑市场稽查和建设工程用工管理工作的制度并监督执行；指导监督本区建筑市场稽查工作，负责本区建筑市场稽查和违法违规工程行政处罚工作；监督本区建设工程用工管理及清理整顿建设领域拖欠农民工工资工作。</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加强市场监测，促进我区房地产市场持续健康发展</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房地产市场数据信息发布时效</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申报国家住宅产业化基地数量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建筑工程质量安全监管</w:t>
            </w:r>
          </w:p>
        </w:tc>
        <w:tc>
          <w:tcPr>
            <w:tcW w:w="964" w:type="dxa"/>
            <w:vMerge w:val="restart"/>
            <w:tcBorders>
              <w:bottom w:val="outset" w:color="auto" w:sz="6" w:space="0"/>
            </w:tcBorders>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拟订工程建设地方标准、工程质量、建筑安全生产的政策和规章制度并监督执行，组织编制城乡建设防灾减灾规划并监督实施，组织或参与工程重大质量、安全事故的调查处理，减少建筑安全生产事故；监督执行勘察设计咨询、工程建设监理、质量检测单位资质标准，提高行业水平。</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重点编制节能减排、能源在利用及住宅产业化等方面的地方标准</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地方标准制定数量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结构优质工程数量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工程质量投诉结案率</w:t>
            </w:r>
          </w:p>
        </w:tc>
        <w:tc>
          <w:tcPr>
            <w:tcW w:w="611"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90%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85%—90%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80%—85%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建筑工程勘察设计质量问题处理率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建筑工程施工现场达标率</w:t>
            </w:r>
          </w:p>
        </w:tc>
        <w:tc>
          <w:tcPr>
            <w:tcW w:w="611"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90%以上</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85%—90%</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80%—85%</w:t>
            </w:r>
          </w:p>
        </w:tc>
        <w:tc>
          <w:tcPr>
            <w:tcW w:w="535"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推进建筑节能</w:t>
            </w:r>
          </w:p>
        </w:tc>
        <w:tc>
          <w:tcPr>
            <w:tcW w:w="96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提高建设科技对住房城乡建设发展的贡献率，充分发挥建筑节能在城镇节能减排中的作用；提高新型墙体材料、新技术和新建筑节能产品在新建建筑中应用。</w:t>
            </w: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推进建筑节能</w:t>
            </w:r>
          </w:p>
        </w:tc>
        <w:tc>
          <w:tcPr>
            <w:tcW w:w="964" w:type="dxa"/>
            <w:vMerge w:val="restart"/>
            <w:tcBorders>
              <w:bottom w:val="outset" w:color="auto" w:sz="6" w:space="0"/>
            </w:tcBorders>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引导推进建筑节能和绿色建筑，组织实施各项建筑节能、绿色建筑、新技术、新体系应用示范项目。推动绿色建筑及住宅产业化，引导建造方式转变，提升住宅性能和品质。</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提高既有居住建筑的保温性能。评选备案项目，完善省级能耗监测平台，建立市级中转平台，实现能耗数据采集、传输、统计等功能。经改造的公共建筑达到节能标准。积累新技术新体系应用经验</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既有居住建筑供热计量及节能改造任务完成面积</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建筑应用可再生能源面积比率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中转平台建设数量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科技新成果完成数量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建筑节能材料管理</w:t>
            </w:r>
          </w:p>
        </w:tc>
        <w:tc>
          <w:tcPr>
            <w:tcW w:w="964" w:type="dxa"/>
            <w:vMerge w:val="restart"/>
            <w:tcBorders>
              <w:bottom w:val="outset" w:color="auto" w:sz="6" w:space="0"/>
            </w:tcBorders>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组织建筑节能材料产品推广应用，定期发布建设机械材料设备淘汰、限制使用和推广应用产品目录，定期开展建材市场秩序专项整治。</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建材市场秩序规范，绿色建材得到广泛应用，低效耗能建设机械及时淘汰</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节能环保建筑产品推广应用项目个数</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抽检在建工程数量</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住建政务管理</w:t>
            </w:r>
          </w:p>
        </w:tc>
        <w:tc>
          <w:tcPr>
            <w:tcW w:w="96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5.21</w:t>
            </w:r>
          </w:p>
        </w:tc>
        <w:tc>
          <w:tcPr>
            <w:tcW w:w="1902"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负责住建系统综合业务管理和机关综合事务管理。</w:t>
            </w:r>
          </w:p>
        </w:tc>
        <w:tc>
          <w:tcPr>
            <w:tcW w:w="206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加强全区住房城乡建设人才队伍建设，提高人才业务素质，激励工作热情，提高行业水平。</w:t>
            </w: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725"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b/>
                <w:bCs/>
                <w:kern w:val="0"/>
                <w:sz w:val="24"/>
                <w:szCs w:val="24"/>
              </w:rPr>
              <w:t>　　综合业务管理</w:t>
            </w:r>
          </w:p>
        </w:tc>
        <w:tc>
          <w:tcPr>
            <w:tcW w:w="964"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5.21</w:t>
            </w:r>
          </w:p>
        </w:tc>
        <w:tc>
          <w:tcPr>
            <w:tcW w:w="1902"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推进全系统依法行政，加强行政许可管理和城市建设档案管理；拟定适合县情的住房政策，指导住房建设和建筑工程抗震防灾管理工作；制定全区住房和城乡建设工作的规范性文件、办法；组织编制科技发展规划和技术经济政策。</w:t>
            </w:r>
          </w:p>
        </w:tc>
        <w:tc>
          <w:tcPr>
            <w:tcW w:w="2060" w:type="dxa"/>
            <w:vMerge w:val="restart"/>
            <w:tcBorders>
              <w:bottom w:val="outset" w:color="auto" w:sz="6" w:space="0"/>
            </w:tcBorders>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加强全区住房城乡建设人才队伍建设，提高人才业务素质，激励工作热情，提高行业水平</w:t>
            </w: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案件审结率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行业培训计划完成率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归档率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004"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综合事务保障率</w:t>
            </w:r>
          </w:p>
        </w:tc>
        <w:tc>
          <w:tcPr>
            <w:tcW w:w="611"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c>
          <w:tcPr>
            <w:tcW w:w="535" w:type="dxa"/>
            <w:vAlign w:val="center"/>
          </w:tcPr>
          <w:p>
            <w:pPr>
              <w:widowControl/>
              <w:jc w:val="left"/>
              <w:rPr>
                <w:rFonts w:ascii="宋体" w:hAnsi="宋体" w:eastAsia="仿宋_GB2312" w:cs="宋体"/>
                <w:kern w:val="0"/>
                <w:sz w:val="24"/>
                <w:szCs w:val="24"/>
              </w:rPr>
            </w:pPr>
            <w:r>
              <w:rPr>
                <w:rFonts w:ascii="宋体" w:hAnsi="宋体" w:eastAsia="仿宋_GB2312" w:cs="宋体"/>
                <w:kern w:val="0"/>
                <w:sz w:val="24"/>
                <w:szCs w:val="24"/>
              </w:rPr>
              <w:t> </w:t>
            </w:r>
          </w:p>
        </w:tc>
      </w:tr>
    </w:tbl>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廊坊市广阳区建设局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我部门（含所属单位）上年末固定资产金额为171.49万元，我部门本年度无拟购置固定资产，详见下表</w:t>
      </w:r>
      <w:r>
        <w:rPr>
          <w:rFonts w:ascii="仿宋_GB2312" w:eastAsia="仿宋_GB2312" w:cs="宋体"/>
          <w:color w:val="000000"/>
          <w:kern w:val="0"/>
          <w:sz w:val="32"/>
          <w:szCs w:val="32"/>
        </w:rPr>
        <w:t>。</w:t>
      </w: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tbl>
      <w:tblPr>
        <w:tblStyle w:val="4"/>
        <w:tblW w:w="10790" w:type="dxa"/>
        <w:jc w:val="center"/>
        <w:tblCellSpacing w:w="0" w:type="dxa"/>
        <w:tblLayout w:type="autofit"/>
        <w:tblCellMar>
          <w:top w:w="0" w:type="dxa"/>
          <w:left w:w="0" w:type="dxa"/>
          <w:bottom w:w="0" w:type="dxa"/>
          <w:right w:w="0" w:type="dxa"/>
        </w:tblCellMar>
      </w:tblPr>
      <w:tblGrid>
        <w:gridCol w:w="3851"/>
        <w:gridCol w:w="2142"/>
        <w:gridCol w:w="4916"/>
      </w:tblGrid>
      <w:tr>
        <w:tblPrEx>
          <w:tblCellMar>
            <w:top w:w="0" w:type="dxa"/>
            <w:left w:w="0" w:type="dxa"/>
            <w:bottom w:w="0" w:type="dxa"/>
            <w:right w:w="0" w:type="dxa"/>
          </w:tblCellMar>
        </w:tblPrEx>
        <w:trPr>
          <w:trHeight w:val="705" w:hRule="atLeast"/>
          <w:tblCellSpacing w:w="0" w:type="dxa"/>
          <w:jc w:val="center"/>
        </w:trPr>
        <w:tc>
          <w:tcPr>
            <w:tcW w:w="1082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b/>
                <w:bCs/>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369" w:hRule="atLeast"/>
          <w:tblCellSpacing w:w="0" w:type="dxa"/>
          <w:jc w:val="center"/>
        </w:trPr>
        <w:tc>
          <w:tcPr>
            <w:tcW w:w="5938"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编制部门：廊坊市广阳区建设局</w:t>
            </w:r>
          </w:p>
        </w:tc>
        <w:tc>
          <w:tcPr>
            <w:tcW w:w="4896"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b/>
                <w:bCs/>
                <w:kern w:val="0"/>
                <w:sz w:val="28"/>
                <w:szCs w:val="28"/>
              </w:rPr>
              <w:t>截止时间：2016年12月31日</w:t>
            </w:r>
            <w:r>
              <w:rPr>
                <w:rFonts w:ascii="宋体" w:hAnsi="宋体" w:eastAsia="仿宋_GB2312" w:cs="宋体"/>
                <w:b/>
                <w:bCs/>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资产总额</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171.49</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1、房屋（平方米）</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1099</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63.52</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其中：办公用房（平方米）</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1099</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63.52</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2、车辆（台、辆）</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12</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88.64</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3、单价在50万元以上的设备</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0</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4、其他固定资产</w:t>
            </w:r>
          </w:p>
        </w:tc>
        <w:tc>
          <w:tcPr>
            <w:tcW w:w="2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b/>
                <w:bCs/>
                <w:kern w:val="0"/>
                <w:sz w:val="28"/>
                <w:szCs w:val="28"/>
              </w:rPr>
              <w:t> </w:t>
            </w:r>
          </w:p>
        </w:tc>
        <w:tc>
          <w:tcPr>
            <w:tcW w:w="48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19.33</w:t>
            </w:r>
          </w:p>
        </w:tc>
      </w:tr>
    </w:tbl>
    <w:p>
      <w:pPr>
        <w:widowControl/>
        <w:spacing w:line="360" w:lineRule="atLeast"/>
        <w:jc w:val="left"/>
        <w:rPr>
          <w:rFonts w:ascii="黑体" w:eastAsia="黑体" w:cs="宋体"/>
          <w:color w:val="000000"/>
          <w:kern w:val="0"/>
          <w:sz w:val="32"/>
          <w:szCs w:val="32"/>
        </w:rPr>
      </w:pPr>
      <w:r>
        <w:rPr>
          <w:rFonts w:hint="eastAsia" w:ascii="宋体" w:hAnsi="宋体" w:eastAsia="黑体" w:cs="宋体"/>
          <w:b/>
          <w:bCs/>
          <w:color w:val="000000"/>
          <w:kern w:val="0"/>
          <w:sz w:val="32"/>
          <w:szCs w:val="32"/>
        </w:rPr>
        <w:t> </w:t>
      </w:r>
      <w:r>
        <w:rPr>
          <w:rFonts w:hint="eastAsia" w:ascii="黑体" w:eastAsia="黑体" w:cs="宋体"/>
          <w:b/>
          <w:bCs/>
          <w:color w:val="000000"/>
          <w:kern w:val="0"/>
          <w:sz w:val="32"/>
          <w:szCs w:val="32"/>
        </w:rPr>
        <w:t>八、名词解释</w:t>
      </w:r>
    </w:p>
    <w:p>
      <w:pPr>
        <w:pStyle w:val="8"/>
        <w:rPr>
          <w:rFonts w:ascii="仿宋_GB2312" w:eastAsia="仿宋_GB2312"/>
          <w:b/>
          <w:bCs/>
          <w:sz w:val="32"/>
          <w:szCs w:val="32"/>
        </w:rPr>
      </w:pP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5E2FCE"/>
    <w:rsid w:val="00446D3A"/>
    <w:rsid w:val="005E2FCE"/>
    <w:rsid w:val="00A75B2E"/>
    <w:rsid w:val="0273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uiPriority w:val="0"/>
  </w:style>
  <w:style w:type="paragraph" w:customStyle="1" w:styleId="8">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1026</Words>
  <Characters>5852</Characters>
  <Lines>48</Lines>
  <Paragraphs>13</Paragraphs>
  <TotalTime>10</TotalTime>
  <ScaleCrop>false</ScaleCrop>
  <LinksUpToDate>false</LinksUpToDate>
  <CharactersWithSpaces>6865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2017-10-27T09:48:00Z</dcterms:created>
  <dc:creator>lenovo</dc:creator>
  <cp:lastModifiedBy>Administrator</cp:lastModifiedBy>
  <dcterms:modified xsi:type="dcterms:W3CDTF">2024-01-18T02:12:17Z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9C597AE9F8D44B3FB8DC9B3C42349628</vt:lpwstr>
  </property>
</Properties>
</file>