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D5" w:rsidRDefault="006F3816">
      <w:pPr>
        <w:widowControl/>
        <w:jc w:val="center"/>
        <w:rPr>
          <w:rFonts w:ascii="方正小标宋简体" w:eastAsia="方正小标宋简体" w:cs="宋体"/>
          <w:color w:val="000000"/>
          <w:kern w:val="0"/>
          <w:sz w:val="44"/>
          <w:szCs w:val="44"/>
        </w:rPr>
      </w:pPr>
      <w:r>
        <w:rPr>
          <w:rFonts w:ascii="方正小标宋简体" w:eastAsia="方正小标宋简体" w:cs="宋体" w:hint="eastAsia"/>
          <w:color w:val="000000"/>
          <w:kern w:val="0"/>
          <w:sz w:val="44"/>
          <w:szCs w:val="44"/>
        </w:rPr>
        <w:t>廊坊市广阳区纪律检查委员会</w:t>
      </w:r>
      <w:r>
        <w:rPr>
          <w:rFonts w:ascii="方正小标宋简体" w:eastAsia="方正小标宋简体" w:cs="宋体" w:hint="eastAsia"/>
          <w:color w:val="000000"/>
          <w:kern w:val="0"/>
          <w:sz w:val="44"/>
          <w:szCs w:val="44"/>
        </w:rPr>
        <w:t>2017</w:t>
      </w:r>
      <w:r>
        <w:rPr>
          <w:rFonts w:ascii="方正小标宋简体" w:eastAsia="方正小标宋简体" w:cs="宋体" w:hint="eastAsia"/>
          <w:color w:val="000000"/>
          <w:kern w:val="0"/>
          <w:sz w:val="44"/>
          <w:szCs w:val="44"/>
        </w:rPr>
        <w:t>年部门预算信息公开</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按照《预算法》、《地方预决算公开操作规程》和《河北省省级预算公开办法》规定，现将廊坊市广阳区</w:t>
      </w:r>
      <w:r>
        <w:rPr>
          <w:rFonts w:ascii="仿宋_GB2312" w:eastAsia="仿宋_GB2312" w:cs="宋体"/>
          <w:color w:val="000000"/>
          <w:kern w:val="0"/>
          <w:sz w:val="32"/>
          <w:szCs w:val="32"/>
        </w:rPr>
        <w:t>纪律检查委员会</w:t>
      </w:r>
      <w:bookmarkStart w:id="0" w:name="_GoBack"/>
      <w:bookmarkEnd w:id="0"/>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年部门预算公开如下：</w:t>
      </w:r>
    </w:p>
    <w:p w:rsidR="00F55BD5" w:rsidRDefault="006F3816">
      <w:pPr>
        <w:widowControl/>
        <w:spacing w:line="360" w:lineRule="atLeast"/>
        <w:ind w:left="640"/>
        <w:jc w:val="left"/>
        <w:rPr>
          <w:rFonts w:ascii="黑体" w:eastAsia="黑体" w:cs="宋体"/>
          <w:color w:val="000000"/>
          <w:kern w:val="0"/>
          <w:sz w:val="32"/>
          <w:szCs w:val="32"/>
        </w:rPr>
      </w:pPr>
      <w:r>
        <w:rPr>
          <w:rFonts w:ascii="黑体" w:eastAsia="黑体" w:cs="宋体" w:hint="eastAsia"/>
          <w:b/>
          <w:bCs/>
          <w:color w:val="000000"/>
          <w:kern w:val="0"/>
          <w:sz w:val="32"/>
          <w:szCs w:val="32"/>
        </w:rPr>
        <w:t>一、部门职责及机构设置情况</w:t>
      </w:r>
    </w:p>
    <w:p w:rsidR="00F55BD5" w:rsidRDefault="006F3816">
      <w:pPr>
        <w:widowControl/>
        <w:spacing w:line="360" w:lineRule="atLeast"/>
        <w:ind w:left="64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部门职责：</w:t>
      </w:r>
      <w:r w:rsidR="00194895">
        <w:rPr>
          <w:rFonts w:ascii="仿宋_GB2312" w:eastAsia="仿宋_GB2312" w:cs="宋体" w:hint="eastAsia"/>
          <w:b/>
          <w:bCs/>
          <w:color w:val="000000"/>
          <w:kern w:val="0"/>
          <w:sz w:val="32"/>
          <w:szCs w:val="32"/>
        </w:rPr>
        <w:t xml:space="preserve"> </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（一）主管全区党的纪律检查工作。负责贯彻落实上级党委、纪委和区委关于加强党风廉政建设决定，维护党的章程和其他党内法规，检查党的路线、方针、政策和决议的执行情况</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二）主管全区行政监察工作。负责贯彻落实上级党委、政府和区委、区政府有关行政监察工作的决定，监督区政府部门及其工作人员和各乡镇政府、街道办事处及其主要负责人执行国家及省、市、区的政策和法律、法规、国民经济和社会发展计划，国务院、省、市、区政府颁发的决议和命令的情况。</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（三）负责检查并处理区委、区政府机关及其各部门、乡镇、街道党的组织和区委管理的党员领导干部违反党的章程及其他党内法规的案件，决定或取消对这些案件中的党员的处分；</w:t>
      </w:r>
      <w:r>
        <w:rPr>
          <w:rFonts w:ascii="仿宋_GB2312" w:eastAsia="仿宋_GB2312" w:cs="宋体" w:hint="eastAsia"/>
          <w:color w:val="000000"/>
          <w:kern w:val="0"/>
          <w:sz w:val="32"/>
          <w:szCs w:val="32"/>
        </w:rPr>
        <w:lastRenderedPageBreak/>
        <w:t>受理党员的控告和申诉，必要时直接查处下级党的纪律检查机关管辖范围内的比较重大或复杂的</w:t>
      </w:r>
      <w:r>
        <w:rPr>
          <w:rFonts w:ascii="仿宋_GB2312" w:eastAsia="仿宋_GB2312" w:cs="宋体" w:hint="eastAsia"/>
          <w:color w:val="000000"/>
          <w:kern w:val="0"/>
          <w:sz w:val="32"/>
          <w:szCs w:val="32"/>
        </w:rPr>
        <w:t>案件。</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四）负责调查处理区政府各部门及其工作人员，各乡镇政府、街道办事处及其主要负责人违反国家政策、法律、法规以及违反政纪的行为，并对责任人做出撤职及撤职以下的行政处分（涉及选举产生的领导干部按法定程序办理）；受理监察对象的申诉；受理个人或单位对违纪行为的检举和控告。</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（五）制定全区党风党纪教育规划。配合有关部门做好党的纪检监察工作方针、政策和法律法规的宣传工作；教育党员和国家工作人员遵纪守法，为政清廉。</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（六）负责对党的纪律检查和行政监察工作理论及有关问题进行调查研究，拟制和参与制定党纪、政纪条规。</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七）调查研究区政府各部门和地方政府制定的有关政策、法规情况，对其违反国家法律和上级规定的条款，提出修改意见；变更或撤销各乡镇、街办处不适当的决定和规定。</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（八）按照市纪委和市委组织部下达的有关文件规定，管理区直单位和乡镇、街道纪检监察干部，组织和指导全区纪检监察干部的培训工作。</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（九）承办区委、区政府及上级纪检监察机关授权和交办的其他工作。</w:t>
      </w:r>
    </w:p>
    <w:p w:rsidR="00F55BD5" w:rsidRDefault="006F3816">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机构设置：</w:t>
      </w:r>
    </w:p>
    <w:p w:rsidR="00F55BD5" w:rsidRDefault="006F3816">
      <w:pPr>
        <w:widowControl/>
        <w:ind w:firstLineChars="200" w:firstLine="640"/>
        <w:jc w:val="left"/>
        <w:rPr>
          <w:rFonts w:ascii="仿宋_GB2312" w:eastAsia="仿宋_GB2312" w:cs="宋体"/>
          <w:kern w:val="0"/>
          <w:sz w:val="32"/>
          <w:szCs w:val="32"/>
        </w:rPr>
      </w:pPr>
      <w:r>
        <w:rPr>
          <w:rFonts w:ascii="仿宋_GB2312" w:eastAsia="仿宋_GB2312" w:cs="宋体" w:hint="eastAsia"/>
          <w:color w:val="000000"/>
          <w:kern w:val="0"/>
          <w:sz w:val="32"/>
          <w:szCs w:val="32"/>
        </w:rPr>
        <w:t>部门机构设置情况</w:t>
      </w:r>
    </w:p>
    <w:tbl>
      <w:tblPr>
        <w:tblW w:w="956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35"/>
        <w:gridCol w:w="1630"/>
        <w:gridCol w:w="1488"/>
        <w:gridCol w:w="2210"/>
      </w:tblGrid>
      <w:tr w:rsidR="00F55BD5">
        <w:trPr>
          <w:trHeight w:val="734"/>
          <w:tblHeader/>
          <w:tblCellSpacing w:w="0" w:type="dxa"/>
          <w:jc w:val="center"/>
        </w:trPr>
        <w:tc>
          <w:tcPr>
            <w:tcW w:w="427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单位名称</w:t>
            </w:r>
          </w:p>
        </w:tc>
        <w:tc>
          <w:tcPr>
            <w:tcW w:w="164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单位性质</w:t>
            </w:r>
          </w:p>
        </w:tc>
        <w:tc>
          <w:tcPr>
            <w:tcW w:w="149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单位规格</w:t>
            </w:r>
          </w:p>
        </w:tc>
        <w:tc>
          <w:tcPr>
            <w:tcW w:w="2227"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经费保障形式</w:t>
            </w:r>
          </w:p>
        </w:tc>
      </w:tr>
      <w:tr w:rsidR="00F55BD5">
        <w:trPr>
          <w:trHeight w:val="225"/>
          <w:tblCellSpacing w:w="0" w:type="dxa"/>
          <w:jc w:val="center"/>
        </w:trPr>
        <w:tc>
          <w:tcPr>
            <w:tcW w:w="427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广阳区纪律检查委员会</w:t>
            </w:r>
          </w:p>
        </w:tc>
        <w:tc>
          <w:tcPr>
            <w:tcW w:w="164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行政单位</w:t>
            </w:r>
          </w:p>
        </w:tc>
        <w:tc>
          <w:tcPr>
            <w:tcW w:w="149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副处级</w:t>
            </w:r>
          </w:p>
        </w:tc>
        <w:tc>
          <w:tcPr>
            <w:tcW w:w="2227"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财政拨款</w:t>
            </w:r>
          </w:p>
        </w:tc>
      </w:tr>
    </w:tbl>
    <w:p w:rsidR="00F55BD5" w:rsidRDefault="006F3816" w:rsidP="00194895">
      <w:pPr>
        <w:widowControl/>
        <w:spacing w:line="360" w:lineRule="atLeast"/>
        <w:ind w:firstLineChars="200" w:firstLine="643"/>
        <w:jc w:val="left"/>
        <w:rPr>
          <w:rFonts w:ascii="黑体" w:eastAsia="黑体" w:cs="宋体"/>
          <w:color w:val="000000"/>
          <w:kern w:val="0"/>
          <w:sz w:val="32"/>
          <w:szCs w:val="32"/>
        </w:rPr>
      </w:pPr>
      <w:r>
        <w:rPr>
          <w:rFonts w:ascii="黑体" w:eastAsia="黑体" w:cs="宋体" w:hint="eastAsia"/>
          <w:b/>
          <w:bCs/>
          <w:color w:val="000000"/>
          <w:kern w:val="0"/>
          <w:sz w:val="32"/>
          <w:szCs w:val="32"/>
        </w:rPr>
        <w:t>二、部门预算安排的总体情况</w:t>
      </w:r>
    </w:p>
    <w:p w:rsidR="00F55BD5" w:rsidRDefault="006F3816">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宋体" w:eastAsia="仿宋_GB2312" w:hAnsi="宋体" w:cs="宋体"/>
          <w:color w:val="000000"/>
          <w:kern w:val="0"/>
          <w:sz w:val="32"/>
          <w:szCs w:val="32"/>
        </w:rPr>
        <w:t xml:space="preserve"> </w:t>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p>
    <w:p w:rsidR="00F55BD5" w:rsidRDefault="006F3816">
      <w:pPr>
        <w:widowControl/>
        <w:numPr>
          <w:ilvl w:val="0"/>
          <w:numId w:val="1"/>
        </w:numPr>
        <w:spacing w:line="360" w:lineRule="atLeast"/>
        <w:jc w:val="left"/>
        <w:rPr>
          <w:rFonts w:ascii="楷体" w:eastAsia="楷体" w:cs="宋体"/>
          <w:color w:val="000000"/>
          <w:kern w:val="0"/>
          <w:sz w:val="32"/>
          <w:szCs w:val="32"/>
        </w:rPr>
      </w:pPr>
      <w:r>
        <w:rPr>
          <w:rFonts w:ascii="楷体" w:eastAsia="楷体" w:cs="宋体" w:hint="eastAsia"/>
          <w:b/>
          <w:bCs/>
          <w:color w:val="000000"/>
          <w:kern w:val="0"/>
          <w:sz w:val="32"/>
          <w:szCs w:val="32"/>
        </w:rPr>
        <w:t>收入说明</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年预算收入</w:t>
      </w:r>
      <w:r>
        <w:rPr>
          <w:rFonts w:ascii="仿宋_GB2312" w:eastAsia="仿宋_GB2312" w:cs="宋体" w:hint="eastAsia"/>
          <w:color w:val="000000"/>
          <w:kern w:val="0"/>
          <w:sz w:val="32"/>
          <w:szCs w:val="32"/>
        </w:rPr>
        <w:t>1237.07</w:t>
      </w:r>
      <w:r>
        <w:rPr>
          <w:rFonts w:ascii="仿宋_GB2312" w:eastAsia="仿宋_GB2312" w:cs="宋体" w:hint="eastAsia"/>
          <w:color w:val="000000"/>
          <w:kern w:val="0"/>
          <w:sz w:val="32"/>
          <w:szCs w:val="32"/>
        </w:rPr>
        <w:t>万元，其中：一般公共预算收入</w:t>
      </w:r>
      <w:r>
        <w:rPr>
          <w:rFonts w:ascii="仿宋_GB2312" w:eastAsia="仿宋_GB2312" w:cs="宋体" w:hint="eastAsia"/>
          <w:color w:val="000000"/>
          <w:kern w:val="0"/>
          <w:sz w:val="32"/>
          <w:szCs w:val="32"/>
        </w:rPr>
        <w:t>1237.07</w:t>
      </w:r>
      <w:r>
        <w:rPr>
          <w:rFonts w:ascii="仿宋_GB2312" w:eastAsia="仿宋_GB2312" w:cs="宋体" w:hint="eastAsia"/>
          <w:color w:val="000000"/>
          <w:kern w:val="0"/>
          <w:sz w:val="32"/>
          <w:szCs w:val="32"/>
        </w:rPr>
        <w:t>万元，政府性基金收入</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p>
    <w:p w:rsidR="00F55BD5" w:rsidRDefault="006F3816" w:rsidP="00194895">
      <w:pPr>
        <w:widowControl/>
        <w:spacing w:line="360" w:lineRule="atLeast"/>
        <w:ind w:firstLineChars="200" w:firstLine="643"/>
        <w:jc w:val="left"/>
        <w:rPr>
          <w:rFonts w:ascii="楷体" w:eastAsia="楷体" w:cs="宋体"/>
          <w:color w:val="000000"/>
          <w:kern w:val="0"/>
          <w:sz w:val="32"/>
          <w:szCs w:val="32"/>
        </w:rPr>
      </w:pPr>
      <w:r>
        <w:rPr>
          <w:rFonts w:ascii="楷体" w:eastAsia="楷体" w:cs="宋体" w:hint="eastAsia"/>
          <w:b/>
          <w:bCs/>
          <w:color w:val="000000"/>
          <w:kern w:val="0"/>
          <w:sz w:val="32"/>
          <w:szCs w:val="32"/>
        </w:rPr>
        <w:t>2</w:t>
      </w:r>
      <w:r>
        <w:rPr>
          <w:rFonts w:ascii="楷体" w:eastAsia="楷体" w:cs="宋体" w:hint="eastAsia"/>
          <w:b/>
          <w:bCs/>
          <w:color w:val="000000"/>
          <w:kern w:val="0"/>
          <w:sz w:val="32"/>
          <w:szCs w:val="32"/>
        </w:rPr>
        <w:t>、支出说明</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年支出预算</w:t>
      </w:r>
      <w:r>
        <w:rPr>
          <w:rFonts w:ascii="仿宋_GB2312" w:eastAsia="仿宋_GB2312" w:cs="宋体" w:hint="eastAsia"/>
          <w:color w:val="000000"/>
          <w:kern w:val="0"/>
          <w:sz w:val="32"/>
          <w:szCs w:val="32"/>
        </w:rPr>
        <w:t>1237.07</w:t>
      </w:r>
      <w:r>
        <w:rPr>
          <w:rFonts w:ascii="仿宋_GB2312" w:eastAsia="仿宋_GB2312" w:cs="宋体" w:hint="eastAsia"/>
          <w:color w:val="000000"/>
          <w:kern w:val="0"/>
          <w:sz w:val="32"/>
          <w:szCs w:val="32"/>
        </w:rPr>
        <w:t>万元，其中基本支出</w:t>
      </w:r>
      <w:r>
        <w:rPr>
          <w:rFonts w:ascii="仿宋_GB2312" w:eastAsia="仿宋_GB2312" w:cs="宋体" w:hint="eastAsia"/>
          <w:color w:val="000000"/>
          <w:kern w:val="0"/>
          <w:sz w:val="32"/>
          <w:szCs w:val="32"/>
        </w:rPr>
        <w:t>1237.07</w:t>
      </w:r>
      <w:r>
        <w:rPr>
          <w:rFonts w:ascii="仿宋_GB2312" w:eastAsia="仿宋_GB2312" w:cs="宋体" w:hint="eastAsia"/>
          <w:color w:val="000000"/>
          <w:kern w:val="0"/>
          <w:sz w:val="32"/>
          <w:szCs w:val="32"/>
        </w:rPr>
        <w:t>万元，包括人员经费和日常公用经费，项目支出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p>
    <w:p w:rsidR="00F55BD5" w:rsidRDefault="006F3816" w:rsidP="00194895">
      <w:pPr>
        <w:widowControl/>
        <w:spacing w:line="360" w:lineRule="atLeast"/>
        <w:ind w:firstLineChars="200" w:firstLine="643"/>
        <w:jc w:val="left"/>
        <w:rPr>
          <w:rFonts w:ascii="楷体" w:eastAsia="楷体" w:cs="宋体"/>
          <w:color w:val="000000"/>
          <w:kern w:val="0"/>
          <w:sz w:val="32"/>
          <w:szCs w:val="32"/>
        </w:rPr>
      </w:pPr>
      <w:r>
        <w:rPr>
          <w:rFonts w:ascii="楷体" w:eastAsia="楷体" w:cs="宋体" w:hint="eastAsia"/>
          <w:b/>
          <w:bCs/>
          <w:color w:val="000000"/>
          <w:kern w:val="0"/>
          <w:sz w:val="32"/>
          <w:szCs w:val="32"/>
        </w:rPr>
        <w:lastRenderedPageBreak/>
        <w:t>3</w:t>
      </w:r>
      <w:r>
        <w:rPr>
          <w:rFonts w:ascii="楷体" w:eastAsia="楷体" w:cs="宋体" w:hint="eastAsia"/>
          <w:b/>
          <w:bCs/>
          <w:color w:val="000000"/>
          <w:kern w:val="0"/>
          <w:sz w:val="32"/>
          <w:szCs w:val="32"/>
        </w:rPr>
        <w:t>、比上年增减情况</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年预算收支安排</w:t>
      </w:r>
      <w:r>
        <w:rPr>
          <w:rFonts w:ascii="仿宋_GB2312" w:eastAsia="仿宋_GB2312" w:cs="宋体" w:hint="eastAsia"/>
          <w:color w:val="000000"/>
          <w:kern w:val="0"/>
          <w:sz w:val="32"/>
          <w:szCs w:val="32"/>
        </w:rPr>
        <w:t>1237.07</w:t>
      </w:r>
      <w:r>
        <w:rPr>
          <w:rFonts w:ascii="仿宋_GB2312" w:eastAsia="仿宋_GB2312" w:cs="宋体" w:hint="eastAsia"/>
          <w:color w:val="000000"/>
          <w:kern w:val="0"/>
          <w:sz w:val="32"/>
          <w:szCs w:val="32"/>
        </w:rPr>
        <w:t>万元，较</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年预算增加</w:t>
      </w:r>
      <w:r>
        <w:rPr>
          <w:rFonts w:ascii="仿宋_GB2312" w:eastAsia="仿宋_GB2312" w:cs="宋体" w:hint="eastAsia"/>
          <w:color w:val="000000"/>
          <w:kern w:val="0"/>
          <w:sz w:val="32"/>
          <w:szCs w:val="32"/>
        </w:rPr>
        <w:t>151.47</w:t>
      </w:r>
      <w:r>
        <w:rPr>
          <w:rFonts w:ascii="仿宋_GB2312" w:eastAsia="仿宋_GB2312" w:cs="宋体" w:hint="eastAsia"/>
          <w:color w:val="000000"/>
          <w:kern w:val="0"/>
          <w:sz w:val="32"/>
          <w:szCs w:val="32"/>
        </w:rPr>
        <w:t>万元，其中：基本支出增加</w:t>
      </w:r>
      <w:r>
        <w:rPr>
          <w:rFonts w:ascii="仿宋_GB2312" w:eastAsia="仿宋_GB2312" w:cs="宋体" w:hint="eastAsia"/>
          <w:color w:val="000000"/>
          <w:kern w:val="0"/>
          <w:sz w:val="32"/>
          <w:szCs w:val="32"/>
        </w:rPr>
        <w:t>251.47</w:t>
      </w:r>
      <w:r>
        <w:rPr>
          <w:rFonts w:ascii="仿宋_GB2312" w:eastAsia="仿宋_GB2312" w:cs="宋体" w:hint="eastAsia"/>
          <w:color w:val="000000"/>
          <w:kern w:val="0"/>
          <w:sz w:val="32"/>
          <w:szCs w:val="32"/>
        </w:rPr>
        <w:t>万元，主要为增加人员经费支出；项目支出减少</w:t>
      </w:r>
      <w:r>
        <w:rPr>
          <w:rFonts w:ascii="仿宋_GB2312" w:eastAsia="仿宋_GB2312" w:cs="宋体" w:hint="eastAsia"/>
          <w:color w:val="000000"/>
          <w:kern w:val="0"/>
          <w:sz w:val="32"/>
          <w:szCs w:val="32"/>
        </w:rPr>
        <w:t>100</w:t>
      </w:r>
      <w:r>
        <w:rPr>
          <w:rFonts w:ascii="仿宋_GB2312" w:eastAsia="仿宋_GB2312" w:cs="宋体" w:hint="eastAsia"/>
          <w:color w:val="000000"/>
          <w:kern w:val="0"/>
          <w:sz w:val="32"/>
          <w:szCs w:val="32"/>
        </w:rPr>
        <w:t>万元，主要为财力紧张</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预算未安排。</w:t>
      </w:r>
    </w:p>
    <w:p w:rsidR="00F55BD5" w:rsidRDefault="006F3816">
      <w:pPr>
        <w:widowControl/>
        <w:spacing w:line="360" w:lineRule="atLeast"/>
        <w:ind w:firstLineChars="200" w:firstLine="640"/>
        <w:jc w:val="left"/>
        <w:rPr>
          <w:rFonts w:ascii="黑体" w:eastAsia="黑体" w:cs="宋体"/>
          <w:color w:val="000000"/>
          <w:kern w:val="0"/>
          <w:sz w:val="32"/>
          <w:szCs w:val="32"/>
        </w:rPr>
      </w:pPr>
      <w:r>
        <w:rPr>
          <w:rFonts w:ascii="黑体" w:eastAsia="黑体" w:cs="宋体" w:hint="eastAsia"/>
          <w:color w:val="000000"/>
          <w:kern w:val="0"/>
          <w:sz w:val="32"/>
          <w:szCs w:val="32"/>
        </w:rPr>
        <w:t>三、机关运行经费安排情况</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年预算安排我部门机关运行经费</w:t>
      </w:r>
      <w:r>
        <w:rPr>
          <w:rFonts w:ascii="仿宋_GB2312" w:eastAsia="仿宋_GB2312" w:cs="宋体" w:hint="eastAsia"/>
          <w:color w:val="000000"/>
          <w:kern w:val="0"/>
          <w:sz w:val="32"/>
          <w:szCs w:val="32"/>
        </w:rPr>
        <w:t>6.83</w:t>
      </w:r>
      <w:r>
        <w:rPr>
          <w:rFonts w:ascii="仿宋_GB2312" w:eastAsia="仿宋_GB2312" w:cs="宋体" w:hint="eastAsia"/>
          <w:color w:val="000000"/>
          <w:kern w:val="0"/>
          <w:sz w:val="32"/>
          <w:szCs w:val="32"/>
        </w:rPr>
        <w:t>万元，其中办公经费</w:t>
      </w:r>
      <w:r>
        <w:rPr>
          <w:rFonts w:ascii="仿宋_GB2312" w:eastAsia="仿宋_GB2312" w:cs="宋体" w:hint="eastAsia"/>
          <w:color w:val="000000"/>
          <w:kern w:val="0"/>
          <w:sz w:val="32"/>
          <w:szCs w:val="32"/>
        </w:rPr>
        <w:t>6.83</w:t>
      </w:r>
      <w:r>
        <w:rPr>
          <w:rFonts w:ascii="仿宋_GB2312" w:eastAsia="仿宋_GB2312" w:cs="宋体" w:hint="eastAsia"/>
          <w:color w:val="000000"/>
          <w:kern w:val="0"/>
          <w:sz w:val="32"/>
          <w:szCs w:val="32"/>
        </w:rPr>
        <w:t>万元。</w:t>
      </w:r>
    </w:p>
    <w:p w:rsidR="00F55BD5" w:rsidRDefault="006F3816">
      <w:pPr>
        <w:widowControl/>
        <w:spacing w:line="360" w:lineRule="atLeast"/>
        <w:ind w:firstLineChars="200" w:firstLine="640"/>
        <w:jc w:val="left"/>
        <w:rPr>
          <w:rFonts w:ascii="黑体" w:eastAsia="黑体" w:cs="宋体"/>
          <w:color w:val="000000"/>
          <w:kern w:val="0"/>
          <w:sz w:val="32"/>
          <w:szCs w:val="32"/>
        </w:rPr>
      </w:pPr>
      <w:r>
        <w:rPr>
          <w:rFonts w:ascii="黑体" w:eastAsia="黑体" w:cs="宋体" w:hint="eastAsia"/>
          <w:color w:val="000000"/>
          <w:kern w:val="0"/>
          <w:sz w:val="32"/>
          <w:szCs w:val="32"/>
        </w:rPr>
        <w:t>四、财政拨款“三公”经费预算情况及增减变化原因</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年，我部门“三公”经费预算安排</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万元，其中因公出国（境）费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万元；公务用车购置及运维费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万元（其中：公务用车购置费为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万元，公务用车运行费为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；公务接待费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年持平、无增减变化。</w:t>
      </w:r>
    </w:p>
    <w:p w:rsidR="00F55BD5" w:rsidRDefault="006F3816">
      <w:pPr>
        <w:widowControl/>
        <w:spacing w:line="360" w:lineRule="atLeast"/>
        <w:ind w:firstLineChars="200" w:firstLine="640"/>
        <w:jc w:val="left"/>
        <w:rPr>
          <w:rFonts w:ascii="黑体" w:eastAsia="黑体" w:cs="宋体"/>
          <w:color w:val="000000"/>
          <w:kern w:val="0"/>
          <w:sz w:val="32"/>
          <w:szCs w:val="32"/>
        </w:rPr>
      </w:pPr>
      <w:r>
        <w:rPr>
          <w:rFonts w:ascii="黑体" w:eastAsia="黑体" w:cs="宋体" w:hint="eastAsia"/>
          <w:bCs/>
          <w:color w:val="000000"/>
          <w:kern w:val="0"/>
          <w:sz w:val="32"/>
          <w:szCs w:val="32"/>
        </w:rPr>
        <w:t>五、绩效预算信息</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总体绩效目标：</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年，区纪委、监察局将继续在市纪委和区委、区政府的正确领导下，深入贯彻落实党的“十八大”和十八届五中全会精神，围绕区委、区政府中心工作，强化领导、创新实践、突出重</w:t>
      </w:r>
      <w:r>
        <w:rPr>
          <w:rFonts w:ascii="仿宋_GB2312" w:eastAsia="仿宋_GB2312" w:cs="宋体" w:hint="eastAsia"/>
          <w:color w:val="000000"/>
          <w:kern w:val="0"/>
          <w:sz w:val="32"/>
          <w:szCs w:val="32"/>
        </w:rPr>
        <w:lastRenderedPageBreak/>
        <w:t>点，狠抓落实，全面推动全区党风廉政建设和反腐败工作再上新台阶，为促进全区经济社会又好又快发展做出新的贡</w:t>
      </w:r>
      <w:r>
        <w:rPr>
          <w:rFonts w:ascii="仿宋_GB2312" w:eastAsia="仿宋_GB2312" w:cs="宋体" w:hint="eastAsia"/>
          <w:color w:val="000000"/>
          <w:kern w:val="0"/>
          <w:sz w:val="32"/>
          <w:szCs w:val="32"/>
        </w:rPr>
        <w:t>献。明年，将重点抓好以下四个方面的工作。</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一、服务大局，助推党风廉政建设“两个责任”落实。把协助区委履行党风廉政建设主体责任作为落实纪委监督责任的首要前提。进一步厘清纪检监察职责，精准定位纪检监察工作，做到“不越位、不缺位、不错位”。监督党委（党组）及时落实“主体责任”，督促乡镇、街道及设纪检组部门及时调整纪委书记分工，使其不再分管纪检监察业务以外的工作，专司纪检，把主要职能划转到监督执纪问责上来。在协助区委制定出台“两个责任”实施方案的基础上，通过严格的责任报告、廉政谈话和责任考核等措施，督促各级党委切实</w:t>
      </w:r>
      <w:r>
        <w:rPr>
          <w:rFonts w:ascii="仿宋_GB2312" w:eastAsia="仿宋_GB2312" w:cs="宋体" w:hint="eastAsia"/>
          <w:color w:val="000000"/>
          <w:kern w:val="0"/>
          <w:sz w:val="32"/>
          <w:szCs w:val="32"/>
        </w:rPr>
        <w:t>担负起党风廉政建设领导者、执行者、推动者的重任。</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二、厘清思路，深入抓好“八项规定”贯彻落实。大力解决形式主义、官僚主义、享乐主义和奢靡之风</w:t>
      </w:r>
      <w:r>
        <w:rPr>
          <w:rFonts w:ascii="仿宋_GB2312" w:eastAsia="仿宋_GB2312" w:cs="宋体" w:hint="eastAsia"/>
          <w:color w:val="000000"/>
          <w:kern w:val="0"/>
          <w:sz w:val="32"/>
          <w:szCs w:val="32"/>
        </w:rPr>
        <w:t xml:space="preserve"> </w:t>
      </w:r>
      <w:r>
        <w:rPr>
          <w:rFonts w:ascii="仿宋_GB2312" w:eastAsia="仿宋_GB2312" w:cs="宋体" w:hint="eastAsia"/>
          <w:color w:val="000000"/>
          <w:kern w:val="0"/>
          <w:sz w:val="32"/>
          <w:szCs w:val="32"/>
        </w:rPr>
        <w:t>“四风”问题。用制度实行刚性约束，以制定出台公务用餐管理办法为突破口，建立科学化、常态化的监督检查机制，加大对落实“八项规定”和省委、市委关于加强作风建设情况的监督检查力度，结合监督检查情况，不断完善领导干部作风考核评价体系，逐步构建起评价作风建设的长效机制。</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三、突出主业，全力抓好查办案件工作。在完成办案目标基数的基础上，深挖线索多办案、集中力量办大案、保证质量办铁</w:t>
      </w:r>
      <w:r>
        <w:rPr>
          <w:rFonts w:ascii="仿宋_GB2312" w:eastAsia="仿宋_GB2312" w:cs="宋体" w:hint="eastAsia"/>
          <w:color w:val="000000"/>
          <w:kern w:val="0"/>
          <w:sz w:val="32"/>
          <w:szCs w:val="32"/>
        </w:rPr>
        <w:t>案。一是坚决把查办案件工作摆到各项工作的首位。牢固树立“纪检监察机关不办案就是失职的理念”，始终认识到，查办案件是纪检监察机关的根本职能，必须放在各项工作的首位，高度重视，认真对待。二是善于研究分析，狠抓重点。对诱发案件的深层次原因进行科学分析，有针对性的出台相关制度，严格加以规范。严肃查处发生在领导干部当中的违纪违法案件，尤其是大案要案</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严肃查处低保救助、粮食直补、占地占林补贴等各项支农惠农政策落实不到位或贪污、冒领等损害群众利益的腐败案件。三是继续在拓展案源上下功夫。针对新形势下，腐败案件日益呈现出手段</w:t>
      </w:r>
      <w:r>
        <w:rPr>
          <w:rFonts w:ascii="仿宋_GB2312" w:eastAsia="仿宋_GB2312" w:cs="宋体" w:hint="eastAsia"/>
          <w:color w:val="000000"/>
          <w:kern w:val="0"/>
          <w:sz w:val="32"/>
          <w:szCs w:val="32"/>
        </w:rPr>
        <w:t>复杂、隐藏深等特点，千方百计、想方设法拓宽案件线索收集渠道。在已有方式的基础上，不断创新，尤其是利用开通的纪检监察网站、“清风广阳”微信平台等强化信访举报互动平台建设，通过现代科技手段的辅助，加大案源收集。四是切实发挥查办案件的惩戒作用。把查办案件作为教育警示干部的最有效手段。切实查办一批有影响的案件，及时召开典型案例发布会，通过身边的事教育身边的人，以鲜活的案例，促使广大党员干部真正在心灵深处受到震撼，进而在思想上筑牢防线。</w:t>
      </w:r>
    </w:p>
    <w:p w:rsidR="00F55BD5" w:rsidRDefault="006F3816">
      <w:pPr>
        <w:widowControl/>
        <w:spacing w:line="360" w:lineRule="atLeast"/>
        <w:ind w:firstLineChars="200" w:firstLine="640"/>
        <w:jc w:val="left"/>
        <w:rPr>
          <w:rFonts w:ascii="宋体" w:eastAsia="仿宋_GB2312" w:hAnsi="宋体" w:cs="宋体"/>
          <w:color w:val="000000"/>
          <w:kern w:val="0"/>
          <w:sz w:val="32"/>
          <w:szCs w:val="32"/>
        </w:rPr>
      </w:pPr>
      <w:r>
        <w:rPr>
          <w:rFonts w:ascii="仿宋_GB2312" w:eastAsia="仿宋_GB2312" w:cs="宋体" w:hint="eastAsia"/>
          <w:color w:val="000000"/>
          <w:kern w:val="0"/>
          <w:sz w:val="32"/>
          <w:szCs w:val="32"/>
        </w:rPr>
        <w:lastRenderedPageBreak/>
        <w:t>四、夯实基础，着力推进廉政文化建设。一是通过正反两方面典型，通过丰富多彩的活动，强化对党员干部的思想教育，使大家在潜移默化中受到教育，树牢清风正气。二是继续抓好社区廉政建设，深入推进廉政文化进社区。巩固、推广国际花园社区经验，积极打造其他亮点社区，深入开展廉政文化进社区活动，规范办事公开，深化社区民主议事日活动，加强社区民主管理和建设。三是在广泛调研的基础上，出台关于村街党风廉政建设的专门规定，从根本上规范村街干部的行为。</w:t>
      </w:r>
    </w:p>
    <w:p w:rsidR="00F55BD5" w:rsidRDefault="006F3816">
      <w:pPr>
        <w:widowControl/>
        <w:spacing w:line="360" w:lineRule="atLeast"/>
        <w:ind w:firstLineChars="200" w:firstLine="640"/>
        <w:jc w:val="left"/>
        <w:rPr>
          <w:rFonts w:ascii="仿宋_GB2312" w:eastAsia="仿宋_GB2312" w:cs="宋体"/>
          <w:b/>
          <w:bCs/>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b/>
          <w:bCs/>
          <w:color w:val="000000"/>
          <w:kern w:val="0"/>
          <w:sz w:val="32"/>
          <w:szCs w:val="32"/>
        </w:rPr>
        <w:t>职责分类绩效目标：</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（一）主管全区党的纪律检查工作。负责贯彻落实上级党委、</w:t>
      </w:r>
      <w:r>
        <w:rPr>
          <w:rFonts w:ascii="仿宋_GB2312" w:eastAsia="仿宋_GB2312" w:cs="宋体" w:hint="eastAsia"/>
          <w:color w:val="000000"/>
          <w:kern w:val="0"/>
          <w:sz w:val="32"/>
          <w:szCs w:val="32"/>
        </w:rPr>
        <w:t>纪委和区委关于加强党风廉政建设决定，维护党的章程和其他党内法规，检查党的路线、方针、政策和决议的执行情况。</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二）主管全区行政监察工作。负责贯彻落实上级党委、政府和区委、区政府有关行政监察工作的决定，监督区政府部门及其工作人员和各乡镇政府、街道办事处及其主要负责人执行国家及省、市、区的政策和法律、法规、国民经济和社会发展计划，国务院、省、市、区政府颁发的决议和命令的情况。</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（三）负责检查并处理区委、区政府机关及其各部门、乡镇、街道党的组织和区委管理的党员领导干部违反党的章程及其他党内法规的案件，决定或取消对</w:t>
      </w:r>
      <w:r>
        <w:rPr>
          <w:rFonts w:ascii="仿宋_GB2312" w:eastAsia="仿宋_GB2312" w:cs="宋体" w:hint="eastAsia"/>
          <w:color w:val="000000"/>
          <w:kern w:val="0"/>
          <w:sz w:val="32"/>
          <w:szCs w:val="32"/>
        </w:rPr>
        <w:t>这些案件中的党员的处分；受理党员的控告和申诉，必要时直接查处下级党的纪律检查机关管辖范围内的比较重大或复杂的案件。</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四）负责调查处理区政府各部门及其工作人员，各乡镇政府、街道办事处及其主要负责人违反国家政策、法律、法规以及违反政纪的行为，并对责任人做出撤职及撤职以下的行政处分（涉及选举产生的领导干部按法定程序办理）；受理监察对象的申诉；受理个人或单位对违纪行为的检举和控告。</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（五）制定全区党风党纪教育规划。配合有关部门做好党的纪检监察工作方针、政策和法律法规的宣传工作；教育党员和国家工作人员遵纪守法，为政</w:t>
      </w:r>
      <w:r>
        <w:rPr>
          <w:rFonts w:ascii="仿宋_GB2312" w:eastAsia="仿宋_GB2312" w:cs="宋体" w:hint="eastAsia"/>
          <w:color w:val="000000"/>
          <w:kern w:val="0"/>
          <w:sz w:val="32"/>
          <w:szCs w:val="32"/>
        </w:rPr>
        <w:t>清廉。</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（六）负责对党的纪律检查和行政监察工作理论及有关问题进行调查研究，拟制和参与制定党纪、政纪条规。</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（七）调查研究区政府各部门和地方政府制定的有关政策、法规情况，对其违反国家法律和上级规定的条款，提出修改意见；变更或撤销各乡镇、街办处不适当的决定和规定。</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（八）按照市纪委和市委组织部下达的有关文件规定，管理区直单位和乡镇、街道纪检监察干部，组织和指导全区纪检监察干部的培训工作。</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（九）承办区委、区政府及上级纪检监察机关授权和交办的其他工作。</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部门职责</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工作活动绩效目标</w:t>
      </w:r>
    </w:p>
    <w:tbl>
      <w:tblPr>
        <w:tblW w:w="968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596"/>
        <w:gridCol w:w="416"/>
        <w:gridCol w:w="2863"/>
        <w:gridCol w:w="1642"/>
        <w:gridCol w:w="996"/>
        <w:gridCol w:w="544"/>
        <w:gridCol w:w="544"/>
        <w:gridCol w:w="544"/>
        <w:gridCol w:w="544"/>
      </w:tblGrid>
      <w:tr w:rsidR="00F55BD5">
        <w:trPr>
          <w:trHeight w:val="255"/>
          <w:tblHeader/>
          <w:tblCellSpacing w:w="0" w:type="dxa"/>
          <w:jc w:val="center"/>
        </w:trPr>
        <w:tc>
          <w:tcPr>
            <w:tcW w:w="7569" w:type="dxa"/>
            <w:gridSpan w:val="5"/>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237</w:t>
            </w:r>
            <w:r>
              <w:rPr>
                <w:rFonts w:ascii="仿宋_GB2312" w:eastAsia="仿宋_GB2312" w:cs="宋体" w:hint="eastAsia"/>
                <w:b/>
                <w:bCs/>
                <w:color w:val="000000"/>
                <w:kern w:val="0"/>
                <w:sz w:val="24"/>
                <w:szCs w:val="24"/>
              </w:rPr>
              <w:t>中共廊坊市广阳区纪律检查委</w:t>
            </w:r>
            <w:r>
              <w:rPr>
                <w:rFonts w:ascii="仿宋_GB2312" w:eastAsia="仿宋_GB2312" w:cs="宋体" w:hint="eastAsia"/>
                <w:b/>
                <w:bCs/>
                <w:color w:val="000000"/>
                <w:kern w:val="0"/>
                <w:sz w:val="24"/>
                <w:szCs w:val="24"/>
              </w:rPr>
              <w:t>员会</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单位：万元</w:t>
            </w:r>
          </w:p>
        </w:tc>
      </w:tr>
      <w:tr w:rsidR="00F55BD5">
        <w:trPr>
          <w:trHeight w:val="255"/>
          <w:tblHeader/>
          <w:tblCellSpacing w:w="0" w:type="dxa"/>
          <w:jc w:val="center"/>
        </w:trPr>
        <w:tc>
          <w:tcPr>
            <w:tcW w:w="1621" w:type="dxa"/>
            <w:vMerge w:val="restart"/>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职责活动</w:t>
            </w:r>
          </w:p>
        </w:tc>
        <w:tc>
          <w:tcPr>
            <w:tcW w:w="422" w:type="dxa"/>
            <w:vMerge w:val="restart"/>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年度预算数</w:t>
            </w:r>
          </w:p>
        </w:tc>
        <w:tc>
          <w:tcPr>
            <w:tcW w:w="2908" w:type="dxa"/>
            <w:vMerge w:val="restart"/>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内容描述</w:t>
            </w:r>
          </w:p>
        </w:tc>
        <w:tc>
          <w:tcPr>
            <w:tcW w:w="1668" w:type="dxa"/>
            <w:vMerge w:val="restart"/>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绩效目标</w:t>
            </w:r>
          </w:p>
        </w:tc>
        <w:tc>
          <w:tcPr>
            <w:tcW w:w="1011" w:type="dxa"/>
            <w:vMerge w:val="restart"/>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绩效指标</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评价标准</w:t>
            </w:r>
          </w:p>
        </w:tc>
      </w:tr>
      <w:tr w:rsidR="00F55BD5">
        <w:trPr>
          <w:trHeight w:val="255"/>
          <w:tblHeader/>
          <w:tblCellSpacing w:w="0" w:type="dxa"/>
          <w:jc w:val="center"/>
        </w:trPr>
        <w:tc>
          <w:tcPr>
            <w:tcW w:w="1596" w:type="dxa"/>
            <w:vMerge/>
            <w:tcBorders>
              <w:top w:val="outset" w:sz="6" w:space="0" w:color="auto"/>
              <w:left w:val="outset" w:sz="6" w:space="0" w:color="auto"/>
              <w:bottom w:val="outset" w:sz="6" w:space="0" w:color="auto"/>
              <w:right w:val="outset" w:sz="6" w:space="0" w:color="auto"/>
            </w:tcBorders>
            <w:vAlign w:val="center"/>
          </w:tcPr>
          <w:p w:rsidR="00F55BD5" w:rsidRDefault="00F55BD5"/>
        </w:tc>
        <w:tc>
          <w:tcPr>
            <w:tcW w:w="416" w:type="dxa"/>
            <w:vMerge/>
            <w:tcBorders>
              <w:top w:val="outset" w:sz="6" w:space="0" w:color="auto"/>
              <w:left w:val="outset" w:sz="6" w:space="0" w:color="auto"/>
              <w:bottom w:val="outset" w:sz="6" w:space="0" w:color="auto"/>
              <w:right w:val="outset" w:sz="6" w:space="0" w:color="auto"/>
            </w:tcBorders>
            <w:vAlign w:val="center"/>
          </w:tcPr>
          <w:p w:rsidR="00F55BD5" w:rsidRDefault="00F55BD5"/>
        </w:tc>
        <w:tc>
          <w:tcPr>
            <w:tcW w:w="2864" w:type="dxa"/>
            <w:vMerge/>
            <w:tcBorders>
              <w:top w:val="outset" w:sz="6" w:space="0" w:color="auto"/>
              <w:left w:val="outset" w:sz="6" w:space="0" w:color="auto"/>
              <w:bottom w:val="outset" w:sz="6" w:space="0" w:color="auto"/>
              <w:right w:val="outset" w:sz="6" w:space="0" w:color="auto"/>
            </w:tcBorders>
            <w:vAlign w:val="center"/>
          </w:tcPr>
          <w:p w:rsidR="00F55BD5" w:rsidRDefault="00F55BD5"/>
        </w:tc>
        <w:tc>
          <w:tcPr>
            <w:tcW w:w="1642" w:type="dxa"/>
            <w:vMerge/>
            <w:tcBorders>
              <w:top w:val="outset" w:sz="6" w:space="0" w:color="auto"/>
              <w:left w:val="outset" w:sz="6" w:space="0" w:color="auto"/>
              <w:bottom w:val="outset" w:sz="6" w:space="0" w:color="auto"/>
              <w:right w:val="outset" w:sz="6" w:space="0" w:color="auto"/>
            </w:tcBorders>
            <w:vAlign w:val="center"/>
          </w:tcPr>
          <w:p w:rsidR="00F55BD5" w:rsidRDefault="00F55BD5"/>
        </w:tc>
        <w:tc>
          <w:tcPr>
            <w:tcW w:w="995" w:type="dxa"/>
            <w:vMerge/>
            <w:tcBorders>
              <w:top w:val="outset" w:sz="6" w:space="0" w:color="auto"/>
              <w:left w:val="outset" w:sz="6" w:space="0" w:color="auto"/>
              <w:bottom w:val="outset" w:sz="6" w:space="0" w:color="auto"/>
              <w:right w:val="outset" w:sz="6" w:space="0" w:color="auto"/>
            </w:tcBorders>
            <w:vAlign w:val="center"/>
          </w:tcPr>
          <w:p w:rsidR="00F55BD5" w:rsidRDefault="00F55BD5"/>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优</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良</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中</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b/>
                <w:bCs/>
                <w:color w:val="000000"/>
                <w:kern w:val="0"/>
                <w:sz w:val="24"/>
                <w:szCs w:val="24"/>
              </w:rPr>
            </w:pPr>
            <w:r>
              <w:rPr>
                <w:rFonts w:ascii="仿宋_GB2312" w:eastAsia="仿宋_GB2312" w:cs="宋体" w:hint="eastAsia"/>
                <w:b/>
                <w:bCs/>
                <w:color w:val="000000"/>
                <w:kern w:val="0"/>
                <w:sz w:val="24"/>
                <w:szCs w:val="24"/>
              </w:rPr>
              <w:t>差</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t>办案问责</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受理信访、举报，集中管理问题线索、组织协调案件查办，调查、审查违纪违法案件，对案件审理提出处理意</w:t>
            </w:r>
            <w:r>
              <w:rPr>
                <w:rFonts w:ascii="仿宋_GB2312" w:eastAsia="仿宋_GB2312" w:cs="宋体" w:hint="eastAsia"/>
                <w:color w:val="000000"/>
                <w:kern w:val="0"/>
                <w:sz w:val="24"/>
                <w:szCs w:val="24"/>
              </w:rPr>
              <w:lastRenderedPageBreak/>
              <w:t>见。乡镇、街道纪委办案工作经费。</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维护党纪国法尊严，坚决惩处腐败分子，有效遏制腐败现象。</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lastRenderedPageBreak/>
              <w:t xml:space="preserve">　　案件查办</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对有关对象违反党纪政纪和违纪违法行为进行处理；组织协调案件查办工作</w:t>
            </w: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承担区委反腐败协调小组办公室职能。乡镇、街道纪委办案工作经费。</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维护党纪国法尊严，坚决惩处腐败分子，有效遏制腐败现象。</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案件查办率</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90%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80%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70%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70%</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lastRenderedPageBreak/>
              <w:t>党风廉政建设及网络维护运行</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组织协调全区党风廉政建设和反腐败宣传、教育、课题研究、文化长廊建设、纪检监察网二期建设及维护费。</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积极发挥职能作用，加强党风廉政建设，营造风清气正、干事创业的工作氛围。</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t xml:space="preserve">　　党风廉政建设及网络运</w:t>
            </w:r>
            <w:r>
              <w:rPr>
                <w:rFonts w:ascii="仿宋_GB2312" w:eastAsia="仿宋_GB2312" w:cs="宋体" w:hint="eastAsia"/>
                <w:b/>
                <w:bCs/>
                <w:color w:val="000000"/>
                <w:kern w:val="0"/>
                <w:sz w:val="24"/>
                <w:szCs w:val="24"/>
              </w:rPr>
              <w:lastRenderedPageBreak/>
              <w:t>行维护</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lastRenderedPageBreak/>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组织协调全区党风廉政建设和反腐败宣传、教育、课</w:t>
            </w:r>
            <w:r>
              <w:rPr>
                <w:rFonts w:ascii="仿宋_GB2312" w:eastAsia="仿宋_GB2312" w:cs="宋体" w:hint="eastAsia"/>
                <w:color w:val="000000"/>
                <w:kern w:val="0"/>
                <w:sz w:val="24"/>
                <w:szCs w:val="24"/>
              </w:rPr>
              <w:lastRenderedPageBreak/>
              <w:t>题研究、文化长廊建设、纪检监察网二期建设及维护费。</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积极发挥职能作用，加强党风</w:t>
            </w:r>
            <w:r>
              <w:rPr>
                <w:rFonts w:ascii="仿宋_GB2312" w:eastAsia="仿宋_GB2312" w:cs="宋体" w:hint="eastAsia"/>
                <w:color w:val="000000"/>
                <w:kern w:val="0"/>
                <w:sz w:val="24"/>
                <w:szCs w:val="24"/>
              </w:rPr>
              <w:lastRenderedPageBreak/>
              <w:t>廉政建设，营造风清气正、干事创业的工作氛围。</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教育活动完成率及</w:t>
            </w:r>
            <w:r>
              <w:rPr>
                <w:rFonts w:ascii="仿宋_GB2312" w:eastAsia="仿宋_GB2312" w:cs="宋体" w:hint="eastAsia"/>
                <w:color w:val="000000"/>
                <w:kern w:val="0"/>
                <w:sz w:val="24"/>
                <w:szCs w:val="24"/>
              </w:rPr>
              <w:lastRenderedPageBreak/>
              <w:t>网络建设完成率</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w:t>
            </w:r>
            <w:r>
              <w:rPr>
                <w:rFonts w:ascii="仿宋_GB2312" w:eastAsia="仿宋_GB2312" w:cs="宋体" w:hint="eastAsia"/>
                <w:color w:val="000000"/>
                <w:kern w:val="0"/>
                <w:sz w:val="24"/>
                <w:szCs w:val="24"/>
              </w:rPr>
              <w:t>90%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80%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70%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70%</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lastRenderedPageBreak/>
              <w:t>监督检查及巡视督查</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监督检查党内法规政策、国家法律法规、党风廉政建设等的执行情况；明察暗访、贯彻落实区委有关部署，开</w:t>
            </w:r>
            <w:r>
              <w:rPr>
                <w:rFonts w:ascii="仿宋_GB2312" w:eastAsia="仿宋_GB2312" w:cs="宋体" w:hint="eastAsia"/>
                <w:color w:val="000000"/>
                <w:kern w:val="0"/>
                <w:sz w:val="24"/>
                <w:szCs w:val="24"/>
              </w:rPr>
              <w:lastRenderedPageBreak/>
              <w:t>展常态化全覆盖监督；巡查设备的采购，为监督检查提供服务保障工作。</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加大问责力度，促进“两个责任”有效落实。</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lastRenderedPageBreak/>
              <w:t xml:space="preserve">　　监督检查</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监督检查党内法规政策、国家法律法规、党风廉政建设等的执行情况；明察暗访、贯彻落实区委有关部署，开展常态化全覆盖监督；巡查</w:t>
            </w:r>
            <w:r>
              <w:rPr>
                <w:rFonts w:ascii="仿宋_GB2312" w:eastAsia="仿宋_GB2312" w:cs="宋体" w:hint="eastAsia"/>
                <w:color w:val="000000"/>
                <w:kern w:val="0"/>
                <w:sz w:val="24"/>
                <w:szCs w:val="24"/>
              </w:rPr>
              <w:lastRenderedPageBreak/>
              <w:t>设备的采购，为监督检查提供服务保障工作。</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加大问责力度，促进“两个责任”有效落实。</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巡查工作覆盖率</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90%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80%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70%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w:t>
            </w:r>
            <w:r>
              <w:rPr>
                <w:rFonts w:ascii="仿宋_GB2312" w:eastAsia="仿宋_GB2312" w:cs="宋体" w:hint="eastAsia"/>
                <w:color w:val="000000"/>
                <w:kern w:val="0"/>
                <w:sz w:val="24"/>
                <w:szCs w:val="24"/>
              </w:rPr>
              <w:t>70%</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lastRenderedPageBreak/>
              <w:t>纪检事务管理</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办公楼修缮维护、水电暖卫生费、车辆运行维护、报刊费等。保障派出机构日常运行。</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为案件查办、纪检监察业务提高服务，保障机关及派出机构正常运行。</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 </w:t>
            </w:r>
          </w:p>
        </w:tc>
      </w:tr>
      <w:tr w:rsidR="00F55BD5">
        <w:trPr>
          <w:trHeight w:val="255"/>
          <w:tblCellSpacing w:w="0" w:type="dxa"/>
          <w:jc w:val="center"/>
        </w:trPr>
        <w:tc>
          <w:tcPr>
            <w:tcW w:w="162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b/>
                <w:bCs/>
                <w:color w:val="000000"/>
                <w:kern w:val="0"/>
                <w:sz w:val="24"/>
                <w:szCs w:val="24"/>
              </w:rPr>
              <w:t xml:space="preserve">　　综合事务</w:t>
            </w:r>
            <w:r>
              <w:rPr>
                <w:rFonts w:ascii="仿宋_GB2312" w:eastAsia="仿宋_GB2312" w:cs="宋体" w:hint="eastAsia"/>
                <w:b/>
                <w:bCs/>
                <w:color w:val="000000"/>
                <w:kern w:val="0"/>
                <w:sz w:val="24"/>
                <w:szCs w:val="24"/>
              </w:rPr>
              <w:lastRenderedPageBreak/>
              <w:t>管理</w:t>
            </w:r>
          </w:p>
        </w:tc>
        <w:tc>
          <w:tcPr>
            <w:tcW w:w="42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lastRenderedPageBreak/>
              <w:t> </w:t>
            </w:r>
          </w:p>
        </w:tc>
        <w:tc>
          <w:tcPr>
            <w:tcW w:w="290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办公楼修缮维护、水电暖卫</w:t>
            </w:r>
            <w:r>
              <w:rPr>
                <w:rFonts w:ascii="仿宋_GB2312" w:eastAsia="仿宋_GB2312" w:cs="宋体" w:hint="eastAsia"/>
                <w:color w:val="000000"/>
                <w:kern w:val="0"/>
                <w:sz w:val="24"/>
                <w:szCs w:val="24"/>
              </w:rPr>
              <w:lastRenderedPageBreak/>
              <w:t>生费、车辆运行维护、报刊费等。保障派出机构日常运行经费。</w:t>
            </w:r>
          </w:p>
        </w:tc>
        <w:tc>
          <w:tcPr>
            <w:tcW w:w="1668"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纪检事务管理</w:t>
            </w:r>
          </w:p>
        </w:tc>
        <w:tc>
          <w:tcPr>
            <w:tcW w:w="1011"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综合事务</w:t>
            </w:r>
            <w:r>
              <w:rPr>
                <w:rFonts w:ascii="仿宋_GB2312" w:eastAsia="仿宋_GB2312" w:cs="宋体" w:hint="eastAsia"/>
                <w:color w:val="000000"/>
                <w:kern w:val="0"/>
                <w:sz w:val="24"/>
                <w:szCs w:val="24"/>
              </w:rPr>
              <w:lastRenderedPageBreak/>
              <w:t>保障率</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100</w:t>
            </w:r>
            <w:r>
              <w:rPr>
                <w:rFonts w:ascii="仿宋_GB2312" w:eastAsia="仿宋_GB2312" w:cs="宋体" w:hint="eastAsia"/>
                <w:color w:val="000000"/>
                <w:kern w:val="0"/>
                <w:sz w:val="24"/>
                <w:szCs w:val="24"/>
              </w:rPr>
              <w:lastRenderedPageBreak/>
              <w:t>%</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w:t>
            </w:r>
            <w:r>
              <w:rPr>
                <w:rFonts w:ascii="仿宋_GB2312" w:eastAsia="仿宋_GB2312" w:cs="宋体" w:hint="eastAsia"/>
                <w:color w:val="000000"/>
                <w:kern w:val="0"/>
                <w:sz w:val="24"/>
                <w:szCs w:val="24"/>
              </w:rPr>
              <w:lastRenderedPageBreak/>
              <w:t>95%</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w:t>
            </w:r>
            <w:r>
              <w:rPr>
                <w:rFonts w:ascii="仿宋_GB2312" w:eastAsia="仿宋_GB2312" w:cs="宋体" w:hint="eastAsia"/>
                <w:color w:val="000000"/>
                <w:kern w:val="0"/>
                <w:sz w:val="24"/>
                <w:szCs w:val="24"/>
              </w:rPr>
              <w:lastRenderedPageBreak/>
              <w:t>90%</w:t>
            </w:r>
          </w:p>
        </w:tc>
        <w:tc>
          <w:tcPr>
            <w:tcW w:w="552" w:type="dxa"/>
            <w:tcBorders>
              <w:top w:val="outset" w:sz="6" w:space="0" w:color="auto"/>
              <w:left w:val="outset" w:sz="6" w:space="0" w:color="auto"/>
              <w:bottom w:val="outset" w:sz="6" w:space="0" w:color="auto"/>
              <w:right w:val="outset" w:sz="6" w:space="0" w:color="auto"/>
            </w:tcBorders>
            <w:vAlign w:val="center"/>
          </w:tcPr>
          <w:p w:rsidR="00F55BD5" w:rsidRDefault="006F3816">
            <w:pPr>
              <w:widowControl/>
              <w:spacing w:line="360" w:lineRule="atLeas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lastRenderedPageBreak/>
              <w:t>＜</w:t>
            </w:r>
            <w:r>
              <w:rPr>
                <w:rFonts w:ascii="仿宋_GB2312" w:eastAsia="仿宋_GB2312" w:cs="宋体" w:hint="eastAsia"/>
                <w:color w:val="000000"/>
                <w:kern w:val="0"/>
                <w:sz w:val="24"/>
                <w:szCs w:val="24"/>
              </w:rPr>
              <w:lastRenderedPageBreak/>
              <w:t>90%</w:t>
            </w:r>
          </w:p>
        </w:tc>
      </w:tr>
    </w:tbl>
    <w:p w:rsidR="00F55BD5" w:rsidRDefault="006F3816">
      <w:pPr>
        <w:widowControl/>
        <w:spacing w:line="360" w:lineRule="atLeast"/>
        <w:ind w:firstLineChars="200" w:firstLine="640"/>
        <w:jc w:val="left"/>
        <w:rPr>
          <w:rFonts w:ascii="黑体" w:eastAsia="黑体" w:cs="宋体"/>
          <w:color w:val="000000"/>
          <w:kern w:val="0"/>
          <w:sz w:val="32"/>
          <w:szCs w:val="32"/>
        </w:rPr>
      </w:pPr>
      <w:r>
        <w:rPr>
          <w:rFonts w:ascii="黑体" w:eastAsia="黑体" w:cs="宋体" w:hint="eastAsia"/>
          <w:bCs/>
          <w:color w:val="000000"/>
          <w:kern w:val="0"/>
          <w:sz w:val="32"/>
          <w:szCs w:val="32"/>
        </w:rPr>
        <w:lastRenderedPageBreak/>
        <w:t> </w:t>
      </w:r>
      <w:r>
        <w:rPr>
          <w:rFonts w:ascii="黑体" w:eastAsia="黑体" w:cs="宋体" w:hint="eastAsia"/>
          <w:bCs/>
          <w:color w:val="000000"/>
          <w:kern w:val="0"/>
          <w:sz w:val="32"/>
          <w:szCs w:val="32"/>
        </w:rPr>
        <w:t>六、政府采购预算情况</w:t>
      </w:r>
    </w:p>
    <w:p w:rsidR="00F55BD5" w:rsidRDefault="006F3816">
      <w:pPr>
        <w:widowControl/>
        <w:spacing w:line="360" w:lineRule="atLeast"/>
        <w:jc w:val="center"/>
        <w:rPr>
          <w:rFonts w:ascii="仿宋_GB2312" w:eastAsia="仿宋_GB2312" w:cs="宋体"/>
          <w:b/>
          <w:bCs/>
          <w:color w:val="000000"/>
          <w:kern w:val="0"/>
          <w:sz w:val="32"/>
          <w:szCs w:val="32"/>
        </w:rPr>
      </w:pPr>
      <w:r>
        <w:rPr>
          <w:rFonts w:ascii="仿宋_GB2312" w:eastAsia="仿宋_GB2312" w:cs="Times New Roman" w:hint="eastAsia"/>
          <w:sz w:val="32"/>
          <w:szCs w:val="32"/>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69"/>
        <w:gridCol w:w="1014"/>
        <w:gridCol w:w="832"/>
        <w:gridCol w:w="1325"/>
        <w:gridCol w:w="831"/>
        <w:gridCol w:w="831"/>
        <w:gridCol w:w="867"/>
        <w:gridCol w:w="850"/>
        <w:gridCol w:w="850"/>
        <w:gridCol w:w="850"/>
        <w:gridCol w:w="773"/>
        <w:gridCol w:w="834"/>
        <w:gridCol w:w="845"/>
        <w:gridCol w:w="790"/>
      </w:tblGrid>
      <w:tr w:rsidR="00F55BD5">
        <w:trPr>
          <w:tblHeader/>
          <w:jc w:val="center"/>
        </w:trPr>
        <w:tc>
          <w:tcPr>
            <w:tcW w:w="2894" w:type="pct"/>
            <w:gridSpan w:val="7"/>
            <w:tcBorders>
              <w:top w:val="single" w:sz="6" w:space="0" w:color="FFFFFF"/>
              <w:left w:val="single" w:sz="6" w:space="0" w:color="FFFFFF"/>
              <w:right w:val="single" w:sz="6" w:space="0" w:color="FFFFFF"/>
            </w:tcBorders>
            <w:shd w:val="clear" w:color="auto" w:fill="auto"/>
            <w:vAlign w:val="center"/>
          </w:tcPr>
          <w:p w:rsidR="00F55BD5" w:rsidRDefault="006F3816">
            <w:pPr>
              <w:spacing w:line="300" w:lineRule="exact"/>
              <w:jc w:val="left"/>
              <w:rPr>
                <w:rFonts w:ascii="仿宋_GB2312" w:eastAsia="仿宋_GB2312" w:cs="Times New Roman"/>
                <w:sz w:val="24"/>
                <w:szCs w:val="24"/>
              </w:rPr>
            </w:pPr>
            <w:r>
              <w:rPr>
                <w:rFonts w:ascii="仿宋_GB2312" w:eastAsia="仿宋_GB2312" w:cs="Times New Roman"/>
                <w:sz w:val="24"/>
                <w:szCs w:val="24"/>
              </w:rPr>
              <w:t>廊坊市广阳区纪律检查委员会</w:t>
            </w:r>
          </w:p>
        </w:tc>
        <w:tc>
          <w:tcPr>
            <w:tcW w:w="2105" w:type="pct"/>
            <w:gridSpan w:val="7"/>
            <w:tcBorders>
              <w:top w:val="single" w:sz="6" w:space="0" w:color="FFFFFF"/>
              <w:left w:val="single" w:sz="6" w:space="0" w:color="FFFFFF"/>
              <w:right w:val="single" w:sz="6" w:space="0" w:color="FFFFFF"/>
            </w:tcBorders>
            <w:shd w:val="clear" w:color="auto" w:fill="auto"/>
            <w:vAlign w:val="center"/>
          </w:tcPr>
          <w:p w:rsidR="00F55BD5" w:rsidRDefault="006F3816">
            <w:pPr>
              <w:spacing w:line="300" w:lineRule="exact"/>
              <w:jc w:val="right"/>
              <w:rPr>
                <w:rFonts w:ascii="仿宋_GB2312" w:eastAsia="仿宋_GB2312" w:cs="Times New Roman"/>
                <w:sz w:val="24"/>
                <w:szCs w:val="24"/>
              </w:rPr>
            </w:pPr>
            <w:r>
              <w:rPr>
                <w:rFonts w:ascii="仿宋_GB2312" w:eastAsia="仿宋_GB2312" w:cs="Times New Roman" w:hint="eastAsia"/>
                <w:sz w:val="24"/>
                <w:szCs w:val="24"/>
              </w:rPr>
              <w:t>单位：万元</w:t>
            </w:r>
          </w:p>
        </w:tc>
      </w:tr>
      <w:tr w:rsidR="00F55BD5">
        <w:trPr>
          <w:tblHeader/>
          <w:jc w:val="center"/>
        </w:trPr>
        <w:tc>
          <w:tcPr>
            <w:tcW w:w="1192" w:type="pct"/>
            <w:gridSpan w:val="2"/>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政府采购项目来源</w:t>
            </w:r>
          </w:p>
        </w:tc>
        <w:tc>
          <w:tcPr>
            <w:tcW w:w="302" w:type="pct"/>
            <w:vMerge w:val="restart"/>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采购</w:t>
            </w:r>
            <w:r>
              <w:rPr>
                <w:rFonts w:ascii="仿宋_GB2312" w:eastAsia="仿宋_GB2312" w:cs="Times New Roman" w:hint="eastAsia"/>
                <w:b/>
                <w:sz w:val="32"/>
                <w:szCs w:val="32"/>
              </w:rPr>
              <w:lastRenderedPageBreak/>
              <w:t>物品名称</w:t>
            </w:r>
          </w:p>
        </w:tc>
        <w:tc>
          <w:tcPr>
            <w:tcW w:w="481" w:type="pct"/>
            <w:vMerge w:val="restart"/>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政府采购目录</w:t>
            </w:r>
            <w:r>
              <w:rPr>
                <w:rFonts w:ascii="仿宋_GB2312" w:eastAsia="仿宋_GB2312" w:cs="Times New Roman" w:hint="eastAsia"/>
                <w:b/>
                <w:sz w:val="32"/>
                <w:szCs w:val="32"/>
              </w:rPr>
              <w:lastRenderedPageBreak/>
              <w:t>序号</w:t>
            </w:r>
          </w:p>
        </w:tc>
        <w:tc>
          <w:tcPr>
            <w:tcW w:w="302" w:type="pct"/>
            <w:vMerge w:val="restart"/>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数量</w:t>
            </w:r>
            <w:r>
              <w:rPr>
                <w:rFonts w:ascii="仿宋_GB2312" w:eastAsia="仿宋_GB2312" w:cs="Times New Roman" w:hint="eastAsia"/>
                <w:b/>
                <w:sz w:val="32"/>
                <w:szCs w:val="32"/>
              </w:rPr>
              <w:t xml:space="preserve">  </w:t>
            </w:r>
            <w:r>
              <w:rPr>
                <w:rFonts w:ascii="仿宋_GB2312" w:eastAsia="仿宋_GB2312" w:cs="Times New Roman" w:hint="eastAsia"/>
                <w:b/>
                <w:sz w:val="32"/>
                <w:szCs w:val="32"/>
              </w:rPr>
              <w:lastRenderedPageBreak/>
              <w:t>单位</w:t>
            </w:r>
          </w:p>
        </w:tc>
        <w:tc>
          <w:tcPr>
            <w:tcW w:w="302" w:type="pct"/>
            <w:vMerge w:val="restart"/>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数量</w:t>
            </w:r>
          </w:p>
        </w:tc>
        <w:tc>
          <w:tcPr>
            <w:tcW w:w="310" w:type="pct"/>
            <w:vMerge w:val="restart"/>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单价</w:t>
            </w:r>
          </w:p>
        </w:tc>
        <w:tc>
          <w:tcPr>
            <w:tcW w:w="2105" w:type="pct"/>
            <w:gridSpan w:val="7"/>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政府采购金额</w:t>
            </w:r>
          </w:p>
        </w:tc>
      </w:tr>
      <w:tr w:rsidR="00F55BD5">
        <w:trPr>
          <w:tblHeader/>
          <w:jc w:val="center"/>
        </w:trPr>
        <w:tc>
          <w:tcPr>
            <w:tcW w:w="824" w:type="pct"/>
            <w:vMerge w:val="restar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项目名称</w:t>
            </w:r>
          </w:p>
        </w:tc>
        <w:tc>
          <w:tcPr>
            <w:tcW w:w="367" w:type="pct"/>
            <w:vMerge w:val="restar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预算资</w:t>
            </w:r>
            <w:r>
              <w:rPr>
                <w:rFonts w:ascii="仿宋_GB2312" w:eastAsia="仿宋_GB2312" w:cs="Times New Roman" w:hint="eastAsia"/>
                <w:b/>
                <w:sz w:val="24"/>
                <w:szCs w:val="24"/>
              </w:rPr>
              <w:lastRenderedPageBreak/>
              <w:t>金</w:t>
            </w:r>
          </w:p>
        </w:tc>
        <w:tc>
          <w:tcPr>
            <w:tcW w:w="303" w:type="pct"/>
            <w:vMerge/>
            <w:shd w:val="clear" w:color="auto" w:fill="auto"/>
            <w:vAlign w:val="center"/>
          </w:tcPr>
          <w:p w:rsidR="00F55BD5" w:rsidRDefault="00F55BD5"/>
        </w:tc>
        <w:tc>
          <w:tcPr>
            <w:tcW w:w="482" w:type="pct"/>
            <w:vMerge/>
            <w:shd w:val="clear" w:color="auto" w:fill="auto"/>
            <w:vAlign w:val="center"/>
          </w:tcPr>
          <w:p w:rsidR="00F55BD5" w:rsidRDefault="00F55BD5"/>
        </w:tc>
        <w:tc>
          <w:tcPr>
            <w:tcW w:w="303" w:type="pct"/>
            <w:vMerge/>
            <w:shd w:val="clear" w:color="auto" w:fill="auto"/>
            <w:vAlign w:val="center"/>
          </w:tcPr>
          <w:p w:rsidR="00F55BD5" w:rsidRDefault="00F55BD5"/>
        </w:tc>
        <w:tc>
          <w:tcPr>
            <w:tcW w:w="303" w:type="pct"/>
            <w:vMerge/>
            <w:shd w:val="clear" w:color="auto" w:fill="auto"/>
            <w:vAlign w:val="center"/>
          </w:tcPr>
          <w:p w:rsidR="00F55BD5" w:rsidRDefault="00F55BD5"/>
        </w:tc>
        <w:tc>
          <w:tcPr>
            <w:tcW w:w="310" w:type="pct"/>
            <w:vMerge/>
            <w:shd w:val="clear" w:color="auto" w:fill="auto"/>
            <w:vAlign w:val="center"/>
          </w:tcPr>
          <w:p w:rsidR="00F55BD5" w:rsidRDefault="00F55BD5"/>
        </w:tc>
        <w:tc>
          <w:tcPr>
            <w:tcW w:w="309" w:type="pct"/>
            <w:vMerge w:val="restar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总计</w:t>
            </w:r>
          </w:p>
        </w:tc>
        <w:tc>
          <w:tcPr>
            <w:tcW w:w="1509" w:type="pct"/>
            <w:gridSpan w:val="5"/>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当年部门预算安排资金</w:t>
            </w:r>
          </w:p>
        </w:tc>
        <w:tc>
          <w:tcPr>
            <w:tcW w:w="285" w:type="pct"/>
            <w:vMerge w:val="restar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其他</w:t>
            </w:r>
            <w:r>
              <w:rPr>
                <w:rFonts w:ascii="仿宋_GB2312" w:eastAsia="仿宋_GB2312" w:cs="Times New Roman" w:hint="eastAsia"/>
                <w:b/>
                <w:sz w:val="24"/>
                <w:szCs w:val="24"/>
              </w:rPr>
              <w:lastRenderedPageBreak/>
              <w:t>渠道资金</w:t>
            </w:r>
          </w:p>
        </w:tc>
      </w:tr>
      <w:tr w:rsidR="00F55BD5">
        <w:trPr>
          <w:tblHeader/>
          <w:jc w:val="center"/>
        </w:trPr>
        <w:tc>
          <w:tcPr>
            <w:tcW w:w="825" w:type="pct"/>
            <w:vMerge/>
            <w:shd w:val="clear" w:color="auto" w:fill="auto"/>
            <w:vAlign w:val="center"/>
          </w:tcPr>
          <w:p w:rsidR="00F55BD5" w:rsidRDefault="00F55BD5"/>
        </w:tc>
        <w:tc>
          <w:tcPr>
            <w:tcW w:w="367" w:type="pct"/>
            <w:vMerge/>
            <w:shd w:val="clear" w:color="auto" w:fill="auto"/>
            <w:vAlign w:val="center"/>
          </w:tcPr>
          <w:p w:rsidR="00F55BD5" w:rsidRDefault="00F55BD5"/>
        </w:tc>
        <w:tc>
          <w:tcPr>
            <w:tcW w:w="303" w:type="pct"/>
            <w:vMerge/>
            <w:shd w:val="clear" w:color="auto" w:fill="auto"/>
            <w:vAlign w:val="center"/>
          </w:tcPr>
          <w:p w:rsidR="00F55BD5" w:rsidRDefault="00F55BD5"/>
        </w:tc>
        <w:tc>
          <w:tcPr>
            <w:tcW w:w="482" w:type="pct"/>
            <w:vMerge/>
            <w:shd w:val="clear" w:color="auto" w:fill="auto"/>
            <w:vAlign w:val="center"/>
          </w:tcPr>
          <w:p w:rsidR="00F55BD5" w:rsidRDefault="00F55BD5"/>
        </w:tc>
        <w:tc>
          <w:tcPr>
            <w:tcW w:w="303" w:type="pct"/>
            <w:vMerge/>
            <w:shd w:val="clear" w:color="auto" w:fill="auto"/>
            <w:vAlign w:val="center"/>
          </w:tcPr>
          <w:p w:rsidR="00F55BD5" w:rsidRDefault="00F55BD5"/>
        </w:tc>
        <w:tc>
          <w:tcPr>
            <w:tcW w:w="303" w:type="pct"/>
            <w:vMerge/>
            <w:shd w:val="clear" w:color="auto" w:fill="auto"/>
            <w:vAlign w:val="center"/>
          </w:tcPr>
          <w:p w:rsidR="00F55BD5" w:rsidRDefault="00F55BD5"/>
        </w:tc>
        <w:tc>
          <w:tcPr>
            <w:tcW w:w="310" w:type="pct"/>
            <w:vMerge/>
            <w:shd w:val="clear" w:color="auto" w:fill="auto"/>
            <w:vAlign w:val="center"/>
          </w:tcPr>
          <w:p w:rsidR="00F55BD5" w:rsidRDefault="00F55BD5"/>
        </w:tc>
        <w:tc>
          <w:tcPr>
            <w:tcW w:w="310" w:type="pct"/>
            <w:vMerge/>
            <w:shd w:val="clear" w:color="auto" w:fill="auto"/>
            <w:vAlign w:val="center"/>
          </w:tcPr>
          <w:p w:rsidR="00F55BD5" w:rsidRDefault="00F55BD5"/>
        </w:tc>
        <w:tc>
          <w:tcPr>
            <w:tcW w:w="309" w:type="pc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合计</w:t>
            </w:r>
          </w:p>
        </w:tc>
        <w:tc>
          <w:tcPr>
            <w:tcW w:w="309" w:type="pc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一般公共预算拨款</w:t>
            </w:r>
          </w:p>
        </w:tc>
        <w:tc>
          <w:tcPr>
            <w:tcW w:w="281" w:type="pc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基金预算拨款</w:t>
            </w:r>
          </w:p>
        </w:tc>
        <w:tc>
          <w:tcPr>
            <w:tcW w:w="303" w:type="pc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财政专户核拨</w:t>
            </w:r>
          </w:p>
        </w:tc>
        <w:tc>
          <w:tcPr>
            <w:tcW w:w="303" w:type="pct"/>
            <w:shd w:val="clear" w:color="auto" w:fill="auto"/>
            <w:vAlign w:val="center"/>
          </w:tcPr>
          <w:p w:rsidR="00F55BD5" w:rsidRDefault="006F3816">
            <w:pPr>
              <w:spacing w:line="300" w:lineRule="exact"/>
              <w:jc w:val="center"/>
              <w:rPr>
                <w:rFonts w:ascii="仿宋_GB2312" w:eastAsia="仿宋_GB2312" w:cs="Times New Roman"/>
                <w:b/>
                <w:sz w:val="24"/>
                <w:szCs w:val="24"/>
              </w:rPr>
            </w:pPr>
            <w:r>
              <w:rPr>
                <w:rFonts w:ascii="仿宋_GB2312" w:eastAsia="仿宋_GB2312" w:cs="Times New Roman" w:hint="eastAsia"/>
                <w:b/>
                <w:sz w:val="24"/>
                <w:szCs w:val="24"/>
              </w:rPr>
              <w:t>其他来源收入</w:t>
            </w:r>
          </w:p>
        </w:tc>
        <w:tc>
          <w:tcPr>
            <w:tcW w:w="286" w:type="pct"/>
            <w:vMerge/>
            <w:shd w:val="clear" w:color="auto" w:fill="auto"/>
            <w:vAlign w:val="center"/>
          </w:tcPr>
          <w:p w:rsidR="00F55BD5" w:rsidRDefault="00F55BD5"/>
        </w:tc>
      </w:tr>
      <w:tr w:rsidR="00F55BD5">
        <w:trPr>
          <w:jc w:val="center"/>
        </w:trPr>
        <w:tc>
          <w:tcPr>
            <w:tcW w:w="824" w:type="pct"/>
            <w:shd w:val="clear" w:color="auto" w:fill="auto"/>
            <w:vAlign w:val="center"/>
          </w:tcPr>
          <w:p w:rsidR="00F55BD5" w:rsidRDefault="006F3816">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lastRenderedPageBreak/>
              <w:t>合　计</w:t>
            </w:r>
          </w:p>
        </w:tc>
        <w:tc>
          <w:tcPr>
            <w:tcW w:w="367"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2" w:type="pct"/>
            <w:shd w:val="clear" w:color="auto" w:fill="auto"/>
            <w:vAlign w:val="center"/>
          </w:tcPr>
          <w:p w:rsidR="00F55BD5" w:rsidRDefault="00F55BD5">
            <w:pPr>
              <w:spacing w:line="300" w:lineRule="exact"/>
              <w:jc w:val="left"/>
              <w:rPr>
                <w:rFonts w:ascii="仿宋_GB2312" w:eastAsia="仿宋_GB2312" w:cs="Times New Roman"/>
                <w:b/>
                <w:sz w:val="32"/>
                <w:szCs w:val="32"/>
              </w:rPr>
            </w:pPr>
          </w:p>
        </w:tc>
        <w:tc>
          <w:tcPr>
            <w:tcW w:w="481" w:type="pct"/>
            <w:shd w:val="clear" w:color="auto" w:fill="auto"/>
            <w:vAlign w:val="center"/>
          </w:tcPr>
          <w:p w:rsidR="00F55BD5" w:rsidRDefault="00F55BD5">
            <w:pPr>
              <w:spacing w:line="300" w:lineRule="exact"/>
              <w:jc w:val="left"/>
              <w:rPr>
                <w:rFonts w:ascii="仿宋_GB2312" w:eastAsia="仿宋_GB2312" w:cs="Times New Roman"/>
                <w:b/>
                <w:sz w:val="32"/>
                <w:szCs w:val="32"/>
              </w:rPr>
            </w:pPr>
          </w:p>
        </w:tc>
        <w:tc>
          <w:tcPr>
            <w:tcW w:w="302" w:type="pct"/>
            <w:shd w:val="clear" w:color="auto" w:fill="auto"/>
            <w:vAlign w:val="center"/>
          </w:tcPr>
          <w:p w:rsidR="00F55BD5" w:rsidRDefault="00F55BD5">
            <w:pPr>
              <w:spacing w:line="300" w:lineRule="exact"/>
              <w:jc w:val="left"/>
              <w:rPr>
                <w:rFonts w:ascii="仿宋_GB2312" w:eastAsia="仿宋_GB2312" w:cs="Times New Roman"/>
                <w:b/>
                <w:sz w:val="32"/>
                <w:szCs w:val="32"/>
              </w:rPr>
            </w:pPr>
          </w:p>
        </w:tc>
        <w:tc>
          <w:tcPr>
            <w:tcW w:w="302"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10"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281"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3"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3"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285"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r>
      <w:tr w:rsidR="00F55BD5">
        <w:trPr>
          <w:jc w:val="center"/>
        </w:trPr>
        <w:tc>
          <w:tcPr>
            <w:tcW w:w="824" w:type="pct"/>
            <w:shd w:val="clear" w:color="auto" w:fill="auto"/>
            <w:vAlign w:val="center"/>
          </w:tcPr>
          <w:p w:rsidR="00F55BD5" w:rsidRDefault="00F55BD5">
            <w:pPr>
              <w:spacing w:line="300" w:lineRule="exact"/>
              <w:jc w:val="center"/>
              <w:rPr>
                <w:rFonts w:ascii="仿宋_GB2312" w:eastAsia="仿宋_GB2312" w:cs="Times New Roman"/>
                <w:b/>
                <w:sz w:val="32"/>
                <w:szCs w:val="32"/>
              </w:rPr>
            </w:pPr>
          </w:p>
        </w:tc>
        <w:tc>
          <w:tcPr>
            <w:tcW w:w="367"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2" w:type="pct"/>
            <w:shd w:val="clear" w:color="auto" w:fill="auto"/>
            <w:vAlign w:val="center"/>
          </w:tcPr>
          <w:p w:rsidR="00F55BD5" w:rsidRDefault="00F55BD5">
            <w:pPr>
              <w:spacing w:line="300" w:lineRule="exact"/>
              <w:jc w:val="left"/>
              <w:rPr>
                <w:rFonts w:ascii="仿宋_GB2312" w:eastAsia="仿宋_GB2312" w:cs="Times New Roman"/>
                <w:b/>
                <w:sz w:val="32"/>
                <w:szCs w:val="32"/>
              </w:rPr>
            </w:pPr>
          </w:p>
        </w:tc>
        <w:tc>
          <w:tcPr>
            <w:tcW w:w="481" w:type="pct"/>
            <w:shd w:val="clear" w:color="auto" w:fill="auto"/>
            <w:vAlign w:val="center"/>
          </w:tcPr>
          <w:p w:rsidR="00F55BD5" w:rsidRDefault="00F55BD5">
            <w:pPr>
              <w:spacing w:line="300" w:lineRule="exact"/>
              <w:jc w:val="left"/>
              <w:rPr>
                <w:rFonts w:ascii="仿宋_GB2312" w:eastAsia="仿宋_GB2312" w:cs="Times New Roman"/>
                <w:b/>
                <w:sz w:val="32"/>
                <w:szCs w:val="32"/>
              </w:rPr>
            </w:pPr>
          </w:p>
        </w:tc>
        <w:tc>
          <w:tcPr>
            <w:tcW w:w="302" w:type="pct"/>
            <w:shd w:val="clear" w:color="auto" w:fill="auto"/>
            <w:vAlign w:val="center"/>
          </w:tcPr>
          <w:p w:rsidR="00F55BD5" w:rsidRDefault="00F55BD5">
            <w:pPr>
              <w:spacing w:line="300" w:lineRule="exact"/>
              <w:jc w:val="left"/>
              <w:rPr>
                <w:rFonts w:ascii="仿宋_GB2312" w:eastAsia="仿宋_GB2312" w:cs="Times New Roman"/>
                <w:b/>
                <w:sz w:val="32"/>
                <w:szCs w:val="32"/>
              </w:rPr>
            </w:pPr>
          </w:p>
        </w:tc>
        <w:tc>
          <w:tcPr>
            <w:tcW w:w="302"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10"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281"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3"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303"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c>
          <w:tcPr>
            <w:tcW w:w="285" w:type="pct"/>
            <w:shd w:val="clear" w:color="auto" w:fill="auto"/>
            <w:vAlign w:val="center"/>
          </w:tcPr>
          <w:p w:rsidR="00F55BD5" w:rsidRDefault="00F55BD5">
            <w:pPr>
              <w:spacing w:line="300" w:lineRule="exact"/>
              <w:jc w:val="right"/>
              <w:rPr>
                <w:rFonts w:ascii="仿宋_GB2312" w:eastAsia="仿宋_GB2312" w:cs="Times New Roman"/>
                <w:b/>
                <w:sz w:val="32"/>
                <w:szCs w:val="32"/>
              </w:rPr>
            </w:pPr>
          </w:p>
        </w:tc>
      </w:tr>
      <w:tr w:rsidR="00F55BD5">
        <w:trPr>
          <w:jc w:val="center"/>
        </w:trPr>
        <w:tc>
          <w:tcPr>
            <w:tcW w:w="824" w:type="pct"/>
            <w:shd w:val="clear" w:color="auto" w:fill="auto"/>
            <w:vAlign w:val="center"/>
          </w:tcPr>
          <w:p w:rsidR="00F55BD5" w:rsidRDefault="00F55BD5">
            <w:pPr>
              <w:spacing w:line="300" w:lineRule="exact"/>
              <w:jc w:val="left"/>
              <w:rPr>
                <w:rFonts w:ascii="仿宋_GB2312" w:eastAsia="仿宋_GB2312" w:cs="Times New Roman"/>
                <w:sz w:val="32"/>
                <w:szCs w:val="32"/>
              </w:rPr>
            </w:pPr>
          </w:p>
        </w:tc>
        <w:tc>
          <w:tcPr>
            <w:tcW w:w="367"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302" w:type="pct"/>
            <w:shd w:val="clear" w:color="auto" w:fill="auto"/>
            <w:vAlign w:val="center"/>
          </w:tcPr>
          <w:p w:rsidR="00F55BD5" w:rsidRDefault="00F55BD5">
            <w:pPr>
              <w:spacing w:line="300" w:lineRule="exact"/>
              <w:jc w:val="left"/>
              <w:rPr>
                <w:rFonts w:ascii="仿宋_GB2312" w:eastAsia="仿宋_GB2312" w:cs="Times New Roman"/>
                <w:sz w:val="32"/>
                <w:szCs w:val="32"/>
              </w:rPr>
            </w:pPr>
          </w:p>
        </w:tc>
        <w:tc>
          <w:tcPr>
            <w:tcW w:w="481" w:type="pct"/>
            <w:shd w:val="clear" w:color="auto" w:fill="auto"/>
            <w:vAlign w:val="center"/>
          </w:tcPr>
          <w:p w:rsidR="00F55BD5" w:rsidRDefault="00F55BD5">
            <w:pPr>
              <w:spacing w:line="300" w:lineRule="exact"/>
              <w:jc w:val="left"/>
              <w:rPr>
                <w:rFonts w:ascii="仿宋_GB2312" w:eastAsia="仿宋_GB2312" w:cs="Times New Roman"/>
                <w:sz w:val="32"/>
                <w:szCs w:val="32"/>
              </w:rPr>
            </w:pPr>
          </w:p>
        </w:tc>
        <w:tc>
          <w:tcPr>
            <w:tcW w:w="302" w:type="pct"/>
            <w:shd w:val="clear" w:color="auto" w:fill="auto"/>
            <w:vAlign w:val="center"/>
          </w:tcPr>
          <w:p w:rsidR="00F55BD5" w:rsidRDefault="00F55BD5">
            <w:pPr>
              <w:spacing w:line="300" w:lineRule="exact"/>
              <w:jc w:val="left"/>
              <w:rPr>
                <w:rFonts w:ascii="仿宋_GB2312" w:eastAsia="仿宋_GB2312" w:cs="Times New Roman"/>
                <w:sz w:val="32"/>
                <w:szCs w:val="32"/>
              </w:rPr>
            </w:pPr>
          </w:p>
        </w:tc>
        <w:tc>
          <w:tcPr>
            <w:tcW w:w="302"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310"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309"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281"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303"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303"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c>
          <w:tcPr>
            <w:tcW w:w="285" w:type="pct"/>
            <w:shd w:val="clear" w:color="auto" w:fill="auto"/>
            <w:vAlign w:val="center"/>
          </w:tcPr>
          <w:p w:rsidR="00F55BD5" w:rsidRDefault="00F55BD5">
            <w:pPr>
              <w:spacing w:line="300" w:lineRule="exact"/>
              <w:jc w:val="right"/>
              <w:rPr>
                <w:rFonts w:ascii="仿宋_GB2312" w:eastAsia="仿宋_GB2312" w:cs="Times New Roman"/>
                <w:sz w:val="32"/>
                <w:szCs w:val="32"/>
              </w:rPr>
            </w:pPr>
          </w:p>
        </w:tc>
      </w:tr>
    </w:tbl>
    <w:p w:rsidR="00F55BD5" w:rsidRDefault="006F3816">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 xml:space="preserve"> </w:t>
      </w:r>
      <w:r>
        <w:rPr>
          <w:rFonts w:ascii="宋体" w:eastAsia="仿宋_GB2312" w:hAnsi="宋体" w:cs="宋体"/>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年，我部门未安排政府采购预算。</w:t>
      </w:r>
    </w:p>
    <w:p w:rsidR="00F55BD5" w:rsidRDefault="006F3816">
      <w:pPr>
        <w:widowControl/>
        <w:spacing w:line="360" w:lineRule="atLeast"/>
        <w:jc w:val="left"/>
        <w:rPr>
          <w:rFonts w:ascii="黑体" w:eastAsia="黑体" w:cs="宋体"/>
          <w:color w:val="000000"/>
          <w:kern w:val="0"/>
          <w:sz w:val="32"/>
          <w:szCs w:val="32"/>
        </w:rPr>
      </w:pPr>
      <w:r>
        <w:rPr>
          <w:rFonts w:ascii="黑体" w:eastAsia="黑体" w:cs="宋体" w:hint="eastAsia"/>
          <w:b/>
          <w:bCs/>
          <w:color w:val="000000"/>
          <w:kern w:val="0"/>
          <w:sz w:val="32"/>
          <w:szCs w:val="32"/>
        </w:rPr>
        <w:t>七、国有资产信息</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我部门（含所属单位）上年末固定资产金额为</w:t>
      </w:r>
      <w:r>
        <w:rPr>
          <w:rFonts w:ascii="仿宋_GB2312" w:eastAsia="仿宋_GB2312" w:cs="宋体" w:hint="eastAsia"/>
          <w:color w:val="000000"/>
          <w:kern w:val="0"/>
          <w:sz w:val="32"/>
          <w:szCs w:val="32"/>
        </w:rPr>
        <w:t>314.12</w:t>
      </w:r>
      <w:r>
        <w:rPr>
          <w:rFonts w:ascii="仿宋_GB2312" w:eastAsia="仿宋_GB2312" w:cs="宋体" w:hint="eastAsia"/>
          <w:color w:val="000000"/>
          <w:kern w:val="0"/>
          <w:sz w:val="32"/>
          <w:szCs w:val="32"/>
        </w:rPr>
        <w:t>万元，我部门本年度无拟购置固定资产</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详见下表。</w:t>
      </w:r>
    </w:p>
    <w:p w:rsidR="00F55BD5" w:rsidRDefault="00F55BD5">
      <w:pPr>
        <w:widowControl/>
        <w:spacing w:line="360" w:lineRule="atLeast"/>
        <w:ind w:firstLineChars="200" w:firstLine="640"/>
        <w:jc w:val="left"/>
        <w:rPr>
          <w:rFonts w:ascii="仿宋_GB2312" w:eastAsia="仿宋_GB2312" w:cs="宋体"/>
          <w:color w:val="000000"/>
          <w:kern w:val="0"/>
          <w:sz w:val="32"/>
          <w:szCs w:val="32"/>
        </w:rPr>
      </w:pPr>
    </w:p>
    <w:p w:rsidR="00F55BD5" w:rsidRDefault="00F55BD5">
      <w:pPr>
        <w:widowControl/>
        <w:spacing w:line="360" w:lineRule="atLeast"/>
        <w:ind w:firstLineChars="200" w:firstLine="640"/>
        <w:jc w:val="left"/>
        <w:rPr>
          <w:rFonts w:ascii="仿宋_GB2312" w:eastAsia="仿宋_GB2312" w:cs="宋体"/>
          <w:color w:val="000000"/>
          <w:kern w:val="0"/>
          <w:sz w:val="32"/>
          <w:szCs w:val="32"/>
        </w:rPr>
      </w:pPr>
    </w:p>
    <w:p w:rsidR="00F55BD5" w:rsidRDefault="00F55BD5">
      <w:pPr>
        <w:widowControl/>
        <w:spacing w:line="360" w:lineRule="atLeast"/>
        <w:ind w:firstLineChars="200" w:firstLine="640"/>
        <w:jc w:val="left"/>
        <w:rPr>
          <w:rFonts w:ascii="仿宋_GB2312" w:eastAsia="仿宋_GB2312" w:cs="宋体"/>
          <w:color w:val="000000"/>
          <w:kern w:val="0"/>
          <w:sz w:val="32"/>
          <w:szCs w:val="32"/>
        </w:rPr>
      </w:pPr>
    </w:p>
    <w:tbl>
      <w:tblPr>
        <w:tblW w:w="11203" w:type="dxa"/>
        <w:tblCellSpacing w:w="0" w:type="dxa"/>
        <w:tblInd w:w="1702" w:type="dxa"/>
        <w:tblCellMar>
          <w:left w:w="0" w:type="dxa"/>
          <w:right w:w="0" w:type="dxa"/>
        </w:tblCellMar>
        <w:tblLook w:val="0000"/>
      </w:tblPr>
      <w:tblGrid>
        <w:gridCol w:w="4303"/>
        <w:gridCol w:w="2457"/>
        <w:gridCol w:w="4563"/>
      </w:tblGrid>
      <w:tr w:rsidR="00F55BD5">
        <w:trPr>
          <w:trHeight w:val="452"/>
          <w:tblCellSpacing w:w="0" w:type="dxa"/>
        </w:trPr>
        <w:tc>
          <w:tcPr>
            <w:tcW w:w="11233" w:type="dxa"/>
            <w:gridSpan w:val="3"/>
            <w:noWrap/>
            <w:vAlign w:val="center"/>
          </w:tcPr>
          <w:p w:rsidR="00F55BD5" w:rsidRDefault="006F3816">
            <w:pPr>
              <w:widowControl/>
              <w:jc w:val="center"/>
              <w:rPr>
                <w:rFonts w:ascii="仿宋_GB2312" w:eastAsia="仿宋_GB2312" w:cs="宋体"/>
                <w:kern w:val="0"/>
                <w:sz w:val="32"/>
                <w:szCs w:val="32"/>
              </w:rPr>
            </w:pPr>
            <w:r>
              <w:rPr>
                <w:rFonts w:ascii="宋体" w:eastAsia="仿宋_GB2312" w:hAnsi="宋体" w:cs="宋体"/>
                <w:kern w:val="0"/>
                <w:sz w:val="32"/>
                <w:szCs w:val="32"/>
              </w:rPr>
              <w:t> </w:t>
            </w:r>
            <w:r>
              <w:rPr>
                <w:rFonts w:ascii="仿宋_GB2312" w:eastAsia="仿宋_GB2312" w:cs="宋体" w:hint="eastAsia"/>
                <w:b/>
                <w:bCs/>
                <w:kern w:val="0"/>
                <w:sz w:val="32"/>
                <w:szCs w:val="32"/>
              </w:rPr>
              <w:t>廊坊市广阳区预算部门固定资产占用情况表</w:t>
            </w:r>
          </w:p>
        </w:tc>
      </w:tr>
      <w:tr w:rsidR="00F55BD5">
        <w:trPr>
          <w:trHeight w:val="432"/>
          <w:tblCellSpacing w:w="0" w:type="dxa"/>
        </w:trPr>
        <w:tc>
          <w:tcPr>
            <w:tcW w:w="6705" w:type="dxa"/>
            <w:gridSpan w:val="2"/>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left"/>
              <w:rPr>
                <w:rFonts w:ascii="仿宋_GB2312" w:eastAsia="仿宋_GB2312" w:cs="宋体"/>
                <w:kern w:val="0"/>
                <w:sz w:val="32"/>
                <w:szCs w:val="32"/>
              </w:rPr>
            </w:pPr>
            <w:r>
              <w:rPr>
                <w:rFonts w:ascii="仿宋_GB2312" w:eastAsia="仿宋_GB2312" w:cs="宋体" w:hint="eastAsia"/>
                <w:kern w:val="0"/>
                <w:sz w:val="32"/>
                <w:szCs w:val="32"/>
              </w:rPr>
              <w:t>编制部门：</w:t>
            </w:r>
            <w:r>
              <w:rPr>
                <w:rFonts w:ascii="仿宋_GB2312" w:eastAsia="仿宋_GB2312" w:cs="宋体" w:hint="eastAsia"/>
                <w:b/>
                <w:bCs/>
                <w:kern w:val="0"/>
                <w:sz w:val="32"/>
                <w:szCs w:val="32"/>
              </w:rPr>
              <w:t>中共廊坊市广阳区纪律检查委员会</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left"/>
              <w:rPr>
                <w:rFonts w:ascii="宋体" w:eastAsia="仿宋_GB2312" w:hAnsi="宋体" w:cs="宋体"/>
                <w:kern w:val="0"/>
                <w:sz w:val="32"/>
                <w:szCs w:val="32"/>
              </w:rPr>
            </w:pPr>
            <w:r>
              <w:rPr>
                <w:rFonts w:ascii="仿宋_GB2312" w:eastAsia="仿宋_GB2312" w:cs="宋体" w:hint="eastAsia"/>
                <w:kern w:val="0"/>
                <w:sz w:val="32"/>
                <w:szCs w:val="32"/>
              </w:rPr>
              <w:t>截止时间：</w:t>
            </w:r>
            <w:r>
              <w:rPr>
                <w:rFonts w:ascii="仿宋_GB2312" w:eastAsia="仿宋_GB2312" w:cs="宋体" w:hint="eastAsia"/>
                <w:kern w:val="0"/>
                <w:sz w:val="32"/>
                <w:szCs w:val="32"/>
              </w:rPr>
              <w:t>2016</w:t>
            </w:r>
            <w:r>
              <w:rPr>
                <w:rFonts w:ascii="仿宋_GB2312" w:eastAsia="仿宋_GB2312" w:cs="宋体" w:hint="eastAsia"/>
                <w:kern w:val="0"/>
                <w:sz w:val="32"/>
                <w:szCs w:val="32"/>
              </w:rPr>
              <w:t>年</w:t>
            </w:r>
            <w:r>
              <w:rPr>
                <w:rFonts w:ascii="仿宋_GB2312" w:eastAsia="仿宋_GB2312" w:cs="宋体" w:hint="eastAsia"/>
                <w:kern w:val="0"/>
                <w:sz w:val="32"/>
                <w:szCs w:val="32"/>
              </w:rPr>
              <w:t>12</w:t>
            </w:r>
            <w:r>
              <w:rPr>
                <w:rFonts w:ascii="仿宋_GB2312" w:eastAsia="仿宋_GB2312" w:cs="宋体" w:hint="eastAsia"/>
                <w:kern w:val="0"/>
                <w:sz w:val="32"/>
                <w:szCs w:val="32"/>
              </w:rPr>
              <w:t>月</w:t>
            </w:r>
            <w:r>
              <w:rPr>
                <w:rFonts w:ascii="仿宋_GB2312" w:eastAsia="仿宋_GB2312" w:cs="宋体" w:hint="eastAsia"/>
                <w:kern w:val="0"/>
                <w:sz w:val="32"/>
                <w:szCs w:val="32"/>
              </w:rPr>
              <w:t>31</w:t>
            </w:r>
            <w:r>
              <w:rPr>
                <w:rFonts w:ascii="仿宋_GB2312" w:eastAsia="仿宋_GB2312" w:cs="宋体" w:hint="eastAsia"/>
                <w:kern w:val="0"/>
                <w:sz w:val="32"/>
                <w:szCs w:val="32"/>
              </w:rPr>
              <w:t>日</w:t>
            </w:r>
            <w:r>
              <w:rPr>
                <w:rFonts w:ascii="宋体" w:eastAsia="仿宋_GB2312" w:hAnsi="宋体" w:cs="宋体"/>
                <w:kern w:val="0"/>
                <w:sz w:val="32"/>
                <w:szCs w:val="32"/>
              </w:rPr>
              <w:t> </w:t>
            </w:r>
          </w:p>
        </w:tc>
      </w:tr>
      <w:tr w:rsidR="00F55BD5">
        <w:trPr>
          <w:trHeight w:val="412"/>
          <w:tblCellSpacing w:w="0" w:type="dxa"/>
        </w:trPr>
        <w:tc>
          <w:tcPr>
            <w:tcW w:w="428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b/>
                <w:bCs/>
                <w:kern w:val="0"/>
                <w:sz w:val="32"/>
                <w:szCs w:val="32"/>
              </w:rPr>
              <w:t>项</w:t>
            </w:r>
            <w:r>
              <w:rPr>
                <w:rFonts w:ascii="宋体" w:eastAsia="仿宋_GB2312" w:hAnsi="宋体" w:cs="宋体"/>
                <w:b/>
                <w:bCs/>
                <w:kern w:val="0"/>
                <w:sz w:val="32"/>
                <w:szCs w:val="32"/>
              </w:rPr>
              <w:t xml:space="preserve">   </w:t>
            </w:r>
            <w:r>
              <w:rPr>
                <w:rFonts w:ascii="仿宋_GB2312" w:eastAsia="仿宋_GB2312" w:cs="宋体" w:hint="eastAsia"/>
                <w:b/>
                <w:bCs/>
                <w:kern w:val="0"/>
                <w:sz w:val="32"/>
                <w:szCs w:val="32"/>
              </w:rPr>
              <w:t>目</w:t>
            </w:r>
          </w:p>
        </w:tc>
        <w:tc>
          <w:tcPr>
            <w:tcW w:w="2437"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b/>
                <w:bCs/>
                <w:kern w:val="0"/>
                <w:sz w:val="32"/>
                <w:szCs w:val="32"/>
              </w:rPr>
              <w:t>数量</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b/>
                <w:bCs/>
                <w:kern w:val="0"/>
                <w:sz w:val="32"/>
                <w:szCs w:val="32"/>
              </w:rPr>
              <w:t>价值（金额单位：万元）</w:t>
            </w:r>
          </w:p>
        </w:tc>
      </w:tr>
      <w:tr w:rsidR="00F55BD5">
        <w:trPr>
          <w:trHeight w:val="645"/>
          <w:tblCellSpacing w:w="0" w:type="dxa"/>
        </w:trPr>
        <w:tc>
          <w:tcPr>
            <w:tcW w:w="428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lastRenderedPageBreak/>
              <w:t>资产总额</w:t>
            </w:r>
          </w:p>
        </w:tc>
        <w:tc>
          <w:tcPr>
            <w:tcW w:w="2437"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314.12</w:t>
            </w:r>
          </w:p>
        </w:tc>
      </w:tr>
      <w:tr w:rsidR="00F55BD5">
        <w:trPr>
          <w:trHeight w:val="645"/>
          <w:tblCellSpacing w:w="0" w:type="dxa"/>
        </w:trPr>
        <w:tc>
          <w:tcPr>
            <w:tcW w:w="428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、房屋（平方米）</w:t>
            </w:r>
          </w:p>
        </w:tc>
        <w:tc>
          <w:tcPr>
            <w:tcW w:w="2437"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35</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0.67</w:t>
            </w:r>
          </w:p>
        </w:tc>
      </w:tr>
      <w:tr w:rsidR="00F55BD5">
        <w:trPr>
          <w:trHeight w:val="645"/>
          <w:tblCellSpacing w:w="0" w:type="dxa"/>
        </w:trPr>
        <w:tc>
          <w:tcPr>
            <w:tcW w:w="428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宋体" w:eastAsia="仿宋_GB2312" w:hAnsi="宋体" w:cs="宋体"/>
                <w:kern w:val="0"/>
                <w:sz w:val="32"/>
                <w:szCs w:val="32"/>
              </w:rPr>
              <w:t xml:space="preserve">   </w:t>
            </w:r>
            <w:r>
              <w:rPr>
                <w:rFonts w:ascii="仿宋_GB2312" w:eastAsia="仿宋_GB2312" w:cs="宋体" w:hint="eastAsia"/>
                <w:kern w:val="0"/>
                <w:sz w:val="32"/>
                <w:szCs w:val="32"/>
              </w:rPr>
              <w:t>其中：办公用房（平方米）</w:t>
            </w:r>
          </w:p>
        </w:tc>
        <w:tc>
          <w:tcPr>
            <w:tcW w:w="2437"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35</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0.67</w:t>
            </w:r>
          </w:p>
        </w:tc>
      </w:tr>
      <w:tr w:rsidR="00F55BD5">
        <w:trPr>
          <w:trHeight w:val="645"/>
          <w:tblCellSpacing w:w="0" w:type="dxa"/>
        </w:trPr>
        <w:tc>
          <w:tcPr>
            <w:tcW w:w="428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、车辆（台、辆）</w:t>
            </w:r>
          </w:p>
        </w:tc>
        <w:tc>
          <w:tcPr>
            <w:tcW w:w="2437"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13</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185.49</w:t>
            </w:r>
          </w:p>
        </w:tc>
      </w:tr>
      <w:tr w:rsidR="00F55BD5">
        <w:trPr>
          <w:trHeight w:val="531"/>
          <w:tblCellSpacing w:w="0" w:type="dxa"/>
        </w:trPr>
        <w:tc>
          <w:tcPr>
            <w:tcW w:w="4283" w:type="dxa"/>
            <w:tcBorders>
              <w:top w:val="single" w:sz="4" w:space="0" w:color="auto"/>
              <w:left w:val="single" w:sz="4" w:space="0" w:color="auto"/>
              <w:bottom w:val="single" w:sz="4" w:space="0" w:color="auto"/>
              <w:right w:val="single" w:sz="4" w:space="0" w:color="auto"/>
            </w:tcBorders>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kern w:val="0"/>
                <w:sz w:val="32"/>
                <w:szCs w:val="32"/>
              </w:rPr>
              <w:t>、单价在</w:t>
            </w:r>
            <w:r>
              <w:rPr>
                <w:rFonts w:ascii="仿宋_GB2312" w:eastAsia="仿宋_GB2312" w:cs="宋体" w:hint="eastAsia"/>
                <w:kern w:val="0"/>
                <w:sz w:val="32"/>
                <w:szCs w:val="32"/>
              </w:rPr>
              <w:t>50</w:t>
            </w:r>
            <w:r>
              <w:rPr>
                <w:rFonts w:ascii="仿宋_GB2312" w:eastAsia="仿宋_GB2312" w:cs="宋体" w:hint="eastAsia"/>
                <w:kern w:val="0"/>
                <w:sz w:val="32"/>
                <w:szCs w:val="32"/>
              </w:rPr>
              <w:t>万元以上的设备</w:t>
            </w:r>
          </w:p>
        </w:tc>
        <w:tc>
          <w:tcPr>
            <w:tcW w:w="2437"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0</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0.00</w:t>
            </w:r>
          </w:p>
        </w:tc>
      </w:tr>
      <w:tr w:rsidR="00F55BD5">
        <w:trPr>
          <w:trHeight w:val="168"/>
          <w:tblCellSpacing w:w="0" w:type="dxa"/>
        </w:trPr>
        <w:tc>
          <w:tcPr>
            <w:tcW w:w="428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4</w:t>
            </w:r>
            <w:r>
              <w:rPr>
                <w:rFonts w:ascii="仿宋_GB2312" w:eastAsia="仿宋_GB2312" w:cs="宋体" w:hint="eastAsia"/>
                <w:kern w:val="0"/>
                <w:sz w:val="32"/>
                <w:szCs w:val="32"/>
              </w:rPr>
              <w:t>、其他固定资产</w:t>
            </w:r>
          </w:p>
        </w:tc>
        <w:tc>
          <w:tcPr>
            <w:tcW w:w="2437"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宋体" w:eastAsia="仿宋_GB2312" w:hAnsi="宋体" w:cs="宋体"/>
                <w:kern w:val="0"/>
                <w:sz w:val="32"/>
                <w:szCs w:val="32"/>
              </w:rPr>
            </w:pPr>
            <w:r>
              <w:rPr>
                <w:rFonts w:ascii="宋体" w:eastAsia="仿宋_GB2312" w:hAnsi="宋体" w:cs="宋体"/>
                <w:kern w:val="0"/>
                <w:sz w:val="32"/>
                <w:szCs w:val="32"/>
              </w:rPr>
              <w:t> </w:t>
            </w:r>
          </w:p>
        </w:tc>
        <w:tc>
          <w:tcPr>
            <w:tcW w:w="4543" w:type="dxa"/>
            <w:tcBorders>
              <w:top w:val="single" w:sz="4" w:space="0" w:color="auto"/>
              <w:left w:val="single" w:sz="4" w:space="0" w:color="auto"/>
              <w:bottom w:val="single" w:sz="4" w:space="0" w:color="auto"/>
              <w:right w:val="single" w:sz="4" w:space="0" w:color="auto"/>
            </w:tcBorders>
            <w:noWrap/>
            <w:vAlign w:val="center"/>
          </w:tcPr>
          <w:p w:rsidR="00F55BD5" w:rsidRDefault="006F3816">
            <w:pPr>
              <w:widowControl/>
              <w:jc w:val="center"/>
              <w:rPr>
                <w:rFonts w:ascii="仿宋_GB2312" w:eastAsia="仿宋_GB2312" w:cs="宋体"/>
                <w:kern w:val="0"/>
                <w:sz w:val="32"/>
                <w:szCs w:val="32"/>
              </w:rPr>
            </w:pPr>
            <w:r>
              <w:rPr>
                <w:rFonts w:ascii="仿宋_GB2312" w:eastAsia="仿宋_GB2312" w:cs="宋体" w:hint="eastAsia"/>
                <w:kern w:val="0"/>
                <w:sz w:val="32"/>
                <w:szCs w:val="32"/>
              </w:rPr>
              <w:t>127.99</w:t>
            </w:r>
          </w:p>
        </w:tc>
      </w:tr>
    </w:tbl>
    <w:p w:rsidR="00F55BD5" w:rsidRDefault="006F3816">
      <w:pPr>
        <w:pStyle w:val="Default"/>
        <w:rPr>
          <w:rFonts w:ascii="仿宋_GB2312" w:eastAsia="仿宋_GB2312"/>
          <w:b/>
          <w:bCs/>
          <w:sz w:val="32"/>
          <w:szCs w:val="32"/>
        </w:rPr>
      </w:pPr>
      <w:r>
        <w:rPr>
          <w:rFonts w:ascii="宋体" w:eastAsia="仿宋_GB2312" w:hAnsi="宋体" w:cs="宋体" w:hint="eastAsia"/>
          <w:sz w:val="32"/>
          <w:szCs w:val="32"/>
        </w:rPr>
        <w:t> </w:t>
      </w:r>
      <w:r>
        <w:rPr>
          <w:rFonts w:ascii="宋体" w:eastAsia="仿宋_GB2312" w:hAnsi="宋体" w:cs="宋体"/>
          <w:sz w:val="32"/>
          <w:szCs w:val="32"/>
        </w:rPr>
        <w:t xml:space="preserve">   </w:t>
      </w:r>
      <w:r>
        <w:rPr>
          <w:rFonts w:ascii="黑体" w:eastAsia="黑体" w:cs="宋体" w:hint="eastAsia"/>
          <w:sz w:val="32"/>
          <w:szCs w:val="32"/>
        </w:rPr>
        <w:t xml:space="preserve"> </w:t>
      </w:r>
      <w:r>
        <w:rPr>
          <w:rFonts w:ascii="黑体" w:eastAsia="黑体" w:cs="宋体" w:hint="eastAsia"/>
          <w:sz w:val="32"/>
          <w:szCs w:val="32"/>
        </w:rPr>
        <w:t>八、名词解释</w:t>
      </w:r>
      <w:r>
        <w:rPr>
          <w:rFonts w:ascii="黑体" w:eastAsia="黑体" w:cs="宋体" w:hint="eastAsia"/>
          <w:sz w:val="32"/>
          <w:szCs w:val="32"/>
        </w:rPr>
        <w:br/>
      </w:r>
      <w:r>
        <w:rPr>
          <w:rFonts w:hint="eastAsia"/>
          <w:b/>
          <w:bCs/>
          <w:sz w:val="32"/>
          <w:szCs w:val="32"/>
        </w:rPr>
        <w:t xml:space="preserve">   </w:t>
      </w:r>
      <w:r>
        <w:rPr>
          <w:b/>
          <w:bCs/>
          <w:sz w:val="32"/>
          <w:szCs w:val="32"/>
        </w:rPr>
        <w:t xml:space="preserve"> </w:t>
      </w:r>
      <w:r>
        <w:rPr>
          <w:rFonts w:ascii="仿宋_GB2312" w:eastAsia="仿宋_GB2312" w:hint="eastAsia"/>
          <w:b/>
          <w:bCs/>
          <w:sz w:val="32"/>
          <w:szCs w:val="32"/>
        </w:rPr>
        <w:t>1</w:t>
      </w:r>
      <w:r>
        <w:rPr>
          <w:rFonts w:ascii="仿宋_GB2312" w:eastAsia="仿宋_GB2312" w:cs="FZFangSong-Z02" w:hint="eastAsia"/>
          <w:sz w:val="32"/>
          <w:szCs w:val="32"/>
        </w:rPr>
        <w:t>、一般公共预算拨款收入：指市级财政当年拨付的资金。</w:t>
      </w:r>
    </w:p>
    <w:p w:rsidR="00F55BD5" w:rsidRDefault="006F3816">
      <w:pPr>
        <w:pStyle w:val="Default"/>
        <w:rPr>
          <w:rFonts w:ascii="仿宋_GB2312" w:eastAsia="仿宋_GB2312" w:cs="FZFangSong-Z02"/>
          <w:sz w:val="32"/>
          <w:szCs w:val="32"/>
        </w:rPr>
      </w:pPr>
      <w:r>
        <w:rPr>
          <w:rFonts w:ascii="仿宋_GB2312" w:eastAsia="仿宋_GB2312" w:hint="eastAsia"/>
          <w:b/>
          <w:bCs/>
          <w:sz w:val="32"/>
          <w:szCs w:val="32"/>
        </w:rPr>
        <w:t xml:space="preserve">    2</w:t>
      </w:r>
      <w:r>
        <w:rPr>
          <w:rFonts w:ascii="仿宋_GB2312" w:eastAsia="仿宋_GB2312" w:cs="FZFangSong-Z02" w:hint="eastAsia"/>
          <w:sz w:val="32"/>
          <w:szCs w:val="32"/>
        </w:rPr>
        <w:t>、事业收入：指事业单位开展专业业务活动及辅助活动所取得的收入。</w:t>
      </w:r>
    </w:p>
    <w:p w:rsidR="00F55BD5" w:rsidRDefault="006F3816">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等以外的收入。主要是按规定动用的租房收入、存款利息收入等。</w:t>
      </w:r>
    </w:p>
    <w:p w:rsidR="00F55BD5" w:rsidRDefault="006F3816">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F55BD5" w:rsidRDefault="006F3816">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F55BD5" w:rsidRDefault="006F3816">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F55BD5" w:rsidRDefault="006F3816">
      <w:pPr>
        <w:pStyle w:val="Default"/>
        <w:rPr>
          <w:rFonts w:ascii="仿宋_GB2312" w:eastAsia="仿宋_GB2312" w:cs="FZFangSong-Z02"/>
          <w:sz w:val="32"/>
          <w:szCs w:val="32"/>
        </w:rPr>
      </w:pPr>
      <w:r>
        <w:rPr>
          <w:rFonts w:ascii="仿宋_GB2312" w:eastAsia="仿宋_GB2312" w:hint="eastAsia"/>
          <w:b/>
          <w:bCs/>
          <w:sz w:val="32"/>
          <w:szCs w:val="32"/>
        </w:rPr>
        <w:lastRenderedPageBreak/>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w:t>
      </w:r>
      <w:r>
        <w:rPr>
          <w:rFonts w:ascii="仿宋_GB2312" w:eastAsia="仿宋_GB2312" w:cs="FZFangSong-Z02" w:hint="eastAsia"/>
          <w:sz w:val="32"/>
          <w:szCs w:val="32"/>
        </w:rPr>
        <w:t>待）支出。</w:t>
      </w:r>
    </w:p>
    <w:p w:rsidR="00F55BD5" w:rsidRDefault="006F3816">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F55BD5" w:rsidRDefault="006F3816">
      <w:pPr>
        <w:widowControl/>
        <w:spacing w:line="360" w:lineRule="atLeast"/>
        <w:ind w:firstLineChars="200" w:firstLine="640"/>
        <w:jc w:val="left"/>
        <w:rPr>
          <w:rFonts w:ascii="仿宋_GB2312" w:eastAsia="仿宋_GB2312" w:cs="宋体"/>
          <w:color w:val="000000"/>
          <w:kern w:val="0"/>
          <w:sz w:val="32"/>
          <w:szCs w:val="32"/>
        </w:rPr>
      </w:pPr>
      <w:r>
        <w:rPr>
          <w:rFonts w:ascii="黑体" w:eastAsia="黑体" w:cs="宋体" w:hint="eastAsia"/>
          <w:color w:val="000000"/>
          <w:kern w:val="0"/>
          <w:sz w:val="32"/>
          <w:szCs w:val="32"/>
        </w:rPr>
        <w:t>九、其它需要说明的事项</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宋体" w:eastAsia="仿宋_GB2312" w:hAnsi="宋体" w:cs="宋体"/>
          <w:color w:val="000000"/>
          <w:kern w:val="0"/>
          <w:sz w:val="32"/>
          <w:szCs w:val="32"/>
        </w:rPr>
        <w:t xml:space="preserve"> </w:t>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无其它需要说明的事项。</w:t>
      </w:r>
    </w:p>
    <w:sectPr w:rsidR="00F55BD5" w:rsidSect="00F55BD5">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16" w:rsidRDefault="006F3816" w:rsidP="00194895">
      <w:r>
        <w:separator/>
      </w:r>
    </w:p>
  </w:endnote>
  <w:endnote w:type="continuationSeparator" w:id="1">
    <w:p w:rsidR="006F3816" w:rsidRDefault="006F3816" w:rsidP="00194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auto"/>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FZFangSong-Z02">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16" w:rsidRDefault="006F3816" w:rsidP="00194895">
      <w:r>
        <w:separator/>
      </w:r>
    </w:p>
  </w:footnote>
  <w:footnote w:type="continuationSeparator" w:id="1">
    <w:p w:rsidR="006F3816" w:rsidRDefault="006F3816" w:rsidP="00194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D9F9A1"/>
    <w:multiLevelType w:val="hybridMultilevel"/>
    <w:tmpl w:val="00000000"/>
    <w:lvl w:ilvl="0" w:tplc="0F0CBEAC">
      <w:start w:val="1"/>
      <w:numFmt w:val="decimal"/>
      <w:lvlRestart w:val="0"/>
      <w:lvlText w:val="%1、"/>
      <w:lvlJc w:val="left"/>
      <w:pPr>
        <w:tabs>
          <w:tab w:val="num" w:pos="1138"/>
        </w:tabs>
        <w:ind w:left="1138" w:hanging="498"/>
      </w:pPr>
      <w:rPr>
        <w:b/>
        <w:bCs/>
        <w:i w:val="0"/>
        <w:iCs w:val="0"/>
      </w:rPr>
    </w:lvl>
    <w:lvl w:ilvl="1" w:tplc="616E52F4">
      <w:start w:val="1"/>
      <w:numFmt w:val="lowerLetter"/>
      <w:lvlText w:val="%2)"/>
      <w:lvlJc w:val="left"/>
      <w:pPr>
        <w:tabs>
          <w:tab w:val="num" w:pos="1480"/>
        </w:tabs>
        <w:ind w:left="1480" w:hanging="420"/>
      </w:pPr>
    </w:lvl>
    <w:lvl w:ilvl="2" w:tplc="DFF4206A">
      <w:start w:val="1"/>
      <w:numFmt w:val="lowerRoman"/>
      <w:lvlText w:val="%3."/>
      <w:lvlJc w:val="right"/>
      <w:pPr>
        <w:tabs>
          <w:tab w:val="num" w:pos="1900"/>
        </w:tabs>
        <w:ind w:left="1900" w:hanging="420"/>
      </w:pPr>
    </w:lvl>
    <w:lvl w:ilvl="3" w:tplc="F5B6FD78">
      <w:start w:val="1"/>
      <w:numFmt w:val="decimal"/>
      <w:lvlText w:val="%4."/>
      <w:lvlJc w:val="left"/>
      <w:pPr>
        <w:tabs>
          <w:tab w:val="num" w:pos="2320"/>
        </w:tabs>
        <w:ind w:left="2320" w:hanging="420"/>
      </w:pPr>
    </w:lvl>
    <w:lvl w:ilvl="4" w:tplc="782A4ECE">
      <w:start w:val="1"/>
      <w:numFmt w:val="lowerLetter"/>
      <w:lvlText w:val="%5)"/>
      <w:lvlJc w:val="left"/>
      <w:pPr>
        <w:tabs>
          <w:tab w:val="num" w:pos="2740"/>
        </w:tabs>
        <w:ind w:left="2740" w:hanging="420"/>
      </w:pPr>
    </w:lvl>
    <w:lvl w:ilvl="5" w:tplc="992E25D8">
      <w:start w:val="1"/>
      <w:numFmt w:val="lowerRoman"/>
      <w:lvlText w:val="%6."/>
      <w:lvlJc w:val="right"/>
      <w:pPr>
        <w:tabs>
          <w:tab w:val="num" w:pos="3160"/>
        </w:tabs>
        <w:ind w:left="3160" w:hanging="420"/>
      </w:pPr>
    </w:lvl>
    <w:lvl w:ilvl="6" w:tplc="4BDE0230">
      <w:start w:val="1"/>
      <w:numFmt w:val="decimal"/>
      <w:lvlText w:val="%7."/>
      <w:lvlJc w:val="left"/>
      <w:pPr>
        <w:tabs>
          <w:tab w:val="num" w:pos="3580"/>
        </w:tabs>
        <w:ind w:left="3580" w:hanging="420"/>
      </w:pPr>
    </w:lvl>
    <w:lvl w:ilvl="7" w:tplc="3C945C0E">
      <w:start w:val="1"/>
      <w:numFmt w:val="lowerLetter"/>
      <w:lvlText w:val="%8)"/>
      <w:lvlJc w:val="left"/>
      <w:pPr>
        <w:tabs>
          <w:tab w:val="num" w:pos="4000"/>
        </w:tabs>
        <w:ind w:left="4000" w:hanging="420"/>
      </w:pPr>
    </w:lvl>
    <w:lvl w:ilvl="8" w:tplc="E738E08E">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F55BD5"/>
    <w:rsid w:val="00194895"/>
    <w:rsid w:val="006F3816"/>
    <w:rsid w:val="00F55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5BD5"/>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5BD5"/>
    <w:pPr>
      <w:pBdr>
        <w:bottom w:val="single" w:sz="6" w:space="1" w:color="auto"/>
      </w:pBdr>
      <w:tabs>
        <w:tab w:val="center" w:pos="4153"/>
        <w:tab w:val="right" w:pos="8306"/>
      </w:tabs>
      <w:snapToGrid w:val="0"/>
      <w:jc w:val="center"/>
    </w:pPr>
    <w:rPr>
      <w:sz w:val="18"/>
      <w:szCs w:val="18"/>
    </w:rPr>
  </w:style>
  <w:style w:type="paragraph" w:styleId="a4">
    <w:name w:val="footer"/>
    <w:basedOn w:val="a"/>
    <w:rsid w:val="00F55BD5"/>
    <w:pPr>
      <w:tabs>
        <w:tab w:val="center" w:pos="4153"/>
        <w:tab w:val="right" w:pos="8306"/>
      </w:tabs>
      <w:snapToGrid w:val="0"/>
      <w:jc w:val="left"/>
    </w:pPr>
    <w:rPr>
      <w:sz w:val="18"/>
      <w:szCs w:val="18"/>
    </w:rPr>
  </w:style>
  <w:style w:type="character" w:styleId="a5">
    <w:name w:val="Strong"/>
    <w:basedOn w:val="a0"/>
    <w:rsid w:val="00F55BD5"/>
    <w:rPr>
      <w:b/>
      <w:bCs/>
    </w:rPr>
  </w:style>
  <w:style w:type="paragraph" w:customStyle="1" w:styleId="Default">
    <w:name w:val="Default"/>
    <w:next w:val="a3"/>
    <w:rsid w:val="00F55BD5"/>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2017-10-27T09:26:00Z</dcterms:created>
  <dcterms:modified xsi:type="dcterms:W3CDTF">2017-03-14T06:39:00Z</dcterms:modified>
</cp:coreProperties>
</file>