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jc w:val="center"/>
        <w:rPr>
          <w:rFonts w:ascii="方正小标宋简体" w:eastAsia="方正小标宋简体" w:cs="宋体"/>
          <w:b/>
          <w:bCs/>
          <w:color w:val="000000"/>
          <w:kern w:val="0"/>
          <w:sz w:val="44"/>
          <w:szCs w:val="44"/>
        </w:rPr>
      </w:pPr>
      <w:r>
        <w:rPr>
          <w:rFonts w:hint="eastAsia" w:ascii="方正小标宋简体" w:eastAsia="方正小标宋简体" w:cs="宋体"/>
          <w:b/>
          <w:bCs/>
          <w:color w:val="000000"/>
          <w:kern w:val="0"/>
          <w:sz w:val="44"/>
          <w:szCs w:val="44"/>
        </w:rPr>
        <w:t>廊坊市广阳区人民法院2017年部门预算</w:t>
      </w:r>
      <w:r>
        <w:rPr>
          <w:rFonts w:ascii="方正小标宋简体" w:eastAsia="方正小标宋简体" w:cs="宋体"/>
          <w:b/>
          <w:bCs/>
          <w:color w:val="000000"/>
          <w:kern w:val="0"/>
          <w:sz w:val="44"/>
          <w:szCs w:val="44"/>
        </w:rPr>
        <w:t>信息</w:t>
      </w:r>
      <w:r>
        <w:rPr>
          <w:rFonts w:hint="eastAsia" w:ascii="方正小标宋简体" w:eastAsia="方正小标宋简体" w:cs="宋体"/>
          <w:b/>
          <w:bCs/>
          <w:color w:val="000000"/>
          <w:kern w:val="0"/>
          <w:sz w:val="44"/>
          <w:szCs w:val="44"/>
        </w:rPr>
        <w:t>公开</w:t>
      </w:r>
    </w:p>
    <w:p>
      <w:pPr>
        <w:widowControl/>
        <w:spacing w:line="360" w:lineRule="atLeast"/>
        <w:jc w:val="center"/>
        <w:rPr>
          <w:rFonts w:ascii="方正小标宋简体" w:eastAsia="方正小标宋简体" w:cs="宋体"/>
          <w:color w:val="000000"/>
          <w:kern w:val="0"/>
          <w:sz w:val="44"/>
          <w:szCs w:val="44"/>
        </w:rPr>
      </w:pPr>
    </w:p>
    <w:p>
      <w:pPr>
        <w:widowControl/>
        <w:spacing w:line="360" w:lineRule="atLeas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按照《</w:t>
      </w:r>
      <w:r>
        <w:rPr>
          <w:rFonts w:hint="eastAsia" w:ascii="仿宋_GB2312" w:eastAsia="仿宋_GB2312" w:cs="宋体"/>
          <w:color w:val="000000"/>
          <w:kern w:val="0"/>
          <w:sz w:val="32"/>
          <w:szCs w:val="32"/>
          <w:lang w:eastAsia="zh-CN"/>
        </w:rPr>
        <w:t>中华人民共和国</w:t>
      </w:r>
      <w:bookmarkStart w:id="0" w:name="_GoBack"/>
      <w:bookmarkEnd w:id="0"/>
      <w:r>
        <w:rPr>
          <w:rFonts w:hint="eastAsia" w:ascii="仿宋_GB2312" w:eastAsia="仿宋_GB2312" w:cs="宋体"/>
          <w:color w:val="000000"/>
          <w:kern w:val="0"/>
          <w:sz w:val="32"/>
          <w:szCs w:val="32"/>
        </w:rPr>
        <w:t>预算法》、《地方预决算公开操作规程》和《河北省省级预算公开办法》规定，现将廊坊市广阳区</w:t>
      </w:r>
      <w:r>
        <w:rPr>
          <w:rFonts w:ascii="仿宋_GB2312" w:eastAsia="仿宋_GB2312" w:cs="宋体"/>
          <w:color w:val="000000"/>
          <w:kern w:val="0"/>
          <w:sz w:val="32"/>
          <w:szCs w:val="32"/>
        </w:rPr>
        <w:t>人民法院</w:t>
      </w:r>
      <w:r>
        <w:rPr>
          <w:rFonts w:hint="eastAsia" w:ascii="仿宋_GB2312" w:eastAsia="仿宋_GB2312" w:cs="宋体"/>
          <w:color w:val="000000"/>
          <w:kern w:val="0"/>
          <w:sz w:val="32"/>
          <w:szCs w:val="32"/>
        </w:rPr>
        <w:t>2017年部门预算公开如下：</w:t>
      </w:r>
    </w:p>
    <w:p>
      <w:pPr>
        <w:widowControl/>
        <w:ind w:firstLine="480" w:firstLineChars="150"/>
        <w:jc w:val="left"/>
        <w:rPr>
          <w:rFonts w:ascii="黑体" w:eastAsia="黑体" w:cs="宋体"/>
          <w:color w:val="000000"/>
          <w:kern w:val="0"/>
          <w:sz w:val="32"/>
          <w:szCs w:val="32"/>
        </w:rPr>
      </w:pPr>
      <w:r>
        <w:rPr>
          <w:rFonts w:hint="eastAsia" w:ascii="黑体" w:eastAsia="黑体" w:cs="宋体"/>
          <w:color w:val="000000"/>
          <w:kern w:val="0"/>
          <w:sz w:val="32"/>
          <w:szCs w:val="32"/>
        </w:rPr>
        <w:t xml:space="preserve">一、部门职责及机构设置情况  </w:t>
      </w:r>
    </w:p>
    <w:p>
      <w:pPr>
        <w:widowControl/>
        <w:ind w:firstLine="482" w:firstLineChars="150"/>
        <w:jc w:val="left"/>
        <w:rPr>
          <w:rFonts w:ascii="仿宋_GB2312" w:eastAsia="仿宋_GB2312" w:cs="宋体"/>
          <w:color w:val="000000"/>
          <w:kern w:val="0"/>
          <w:sz w:val="32"/>
          <w:szCs w:val="32"/>
        </w:rPr>
      </w:pPr>
      <w:r>
        <w:rPr>
          <w:rFonts w:hint="eastAsia" w:ascii="仿宋_GB2312" w:eastAsia="仿宋_GB2312" w:cs="宋体"/>
          <w:b/>
          <w:bCs/>
          <w:color w:val="000000"/>
          <w:kern w:val="0"/>
          <w:sz w:val="32"/>
          <w:szCs w:val="32"/>
        </w:rPr>
        <w:t>部门职责：</w:t>
      </w:r>
    </w:p>
    <w:p>
      <w:pPr>
        <w:widowControl/>
        <w:ind w:firstLine="480" w:firstLineChars="15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广阳区人民法院是国家的审判机关，在区委领导下，依法独立行使审判权，对区人民代表大会及其常务委员会负责并报告工作。主要职责是：</w:t>
      </w:r>
    </w:p>
    <w:p>
      <w:pPr>
        <w:widowControl/>
        <w:numPr>
          <w:ilvl w:val="0"/>
          <w:numId w:val="1"/>
        </w:numPr>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审判法律规定由基层人民法院管辖的刑事、民事、行政等一审案件。</w:t>
      </w:r>
    </w:p>
    <w:p>
      <w:pPr>
        <w:widowControl/>
        <w:ind w:firstLine="480" w:firstLineChars="150"/>
        <w:jc w:val="left"/>
        <w:rPr>
          <w:rFonts w:ascii="仿宋_GB2312" w:eastAsia="仿宋_GB2312" w:cs="宋体"/>
          <w:kern w:val="0"/>
          <w:sz w:val="32"/>
          <w:szCs w:val="32"/>
        </w:rPr>
      </w:pPr>
      <w:r>
        <w:rPr>
          <w:rFonts w:hint="eastAsia" w:ascii="仿宋_GB2312" w:eastAsia="仿宋_GB2312" w:cs="宋体"/>
          <w:color w:val="000000"/>
          <w:kern w:val="0"/>
          <w:sz w:val="32"/>
          <w:szCs w:val="32"/>
        </w:rPr>
        <w:t>（2）审判上级人民法院指定、同级人民法院移送的刑事、民事、行政等一审案件。</w:t>
      </w:r>
    </w:p>
    <w:p>
      <w:pPr>
        <w:widowControl/>
        <w:ind w:left="480"/>
        <w:jc w:val="left"/>
        <w:rPr>
          <w:rFonts w:ascii="仿宋_GB2312" w:eastAsia="仿宋_GB2312" w:cs="宋体"/>
          <w:kern w:val="0"/>
          <w:sz w:val="32"/>
          <w:szCs w:val="32"/>
        </w:rPr>
      </w:pPr>
      <w:r>
        <w:rPr>
          <w:rFonts w:hint="eastAsia" w:ascii="仿宋_GB2312" w:eastAsia="仿宋_GB2312" w:cs="宋体"/>
          <w:color w:val="000000"/>
          <w:kern w:val="0"/>
          <w:sz w:val="32"/>
          <w:szCs w:val="32"/>
        </w:rPr>
        <w:t>（3）审查和受理各类告诉申诉案件，审判各类再审案件，处理来信来访。</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（4）依法办理发生法律效力的民事、行政案件判决和裁定执行事项及刑事案件判决和裁定中关于财产部分的执行事项；办理法律规定由基层人民法院执行的其他法律文书的执行事项。</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（5）负责本院审判工作的调查研究，总结审判工作经验。</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（6）负责本院干警思想政治教育和业务培训工作；按照权限管理法官、执行员、书记员、司法警察、司法鉴定人员及司法行政人员；协同上级法院及区主管部门管理全院的机构设置、人员编制工作。</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（7）负责本院的法医工作。</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（8）领导本院的监察工作。</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（9）管理本院的有关经费及物资装备。</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（10）在审判工作中宣传法制，教育公民忠于社会主义祖国，自觉遵守宪法、法律和社会公德。</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（11）负责本院的党群工作。</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（12）完成上级法院和区委、区人大交办的其他工作。</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（13）承办其他应由基层人民法院负责的工作。</w:t>
      </w:r>
      <w:r>
        <w:rPr>
          <w:rFonts w:hint="eastAsia" w:ascii="仿宋_GB2312" w:eastAsia="仿宋_GB2312" w:cs="宋体"/>
          <w:color w:val="000000"/>
          <w:kern w:val="0"/>
          <w:sz w:val="32"/>
          <w:szCs w:val="32"/>
        </w:rPr>
        <w:br w:type="textWrapping"/>
      </w:r>
      <w:r>
        <w:rPr>
          <w:rFonts w:hint="eastAsia" w:ascii="仿宋_GB2312" w:eastAsia="仿宋_GB2312" w:cs="宋体"/>
          <w:b/>
          <w:bCs/>
          <w:color w:val="000000"/>
          <w:kern w:val="0"/>
          <w:sz w:val="32"/>
          <w:szCs w:val="32"/>
        </w:rPr>
        <w:t>机构设置：</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部门机构设置情况</w:t>
      </w:r>
    </w:p>
    <w:tbl>
      <w:tblPr>
        <w:tblStyle w:val="4"/>
        <w:tblW w:w="9385"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4259"/>
        <w:gridCol w:w="1107"/>
        <w:gridCol w:w="1236"/>
        <w:gridCol w:w="278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68" w:hRule="atLeast"/>
          <w:tblHeader/>
          <w:tblCellSpacing w:w="0" w:type="dxa"/>
          <w:jc w:val="center"/>
        </w:trPr>
        <w:tc>
          <w:tcPr>
            <w:tcW w:w="429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32"/>
                <w:szCs w:val="32"/>
              </w:rPr>
            </w:pPr>
            <w:r>
              <w:rPr>
                <w:rFonts w:hint="eastAsia" w:ascii="仿宋_GB2312" w:eastAsia="仿宋_GB2312" w:cs="宋体"/>
                <w:b/>
                <w:bCs/>
                <w:kern w:val="0"/>
                <w:sz w:val="32"/>
                <w:szCs w:val="32"/>
              </w:rPr>
              <w:t>单位名称</w:t>
            </w:r>
          </w:p>
        </w:tc>
        <w:tc>
          <w:tcPr>
            <w:tcW w:w="1114"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32"/>
                <w:szCs w:val="32"/>
              </w:rPr>
            </w:pPr>
            <w:r>
              <w:rPr>
                <w:rFonts w:hint="eastAsia" w:ascii="仿宋_GB2312" w:eastAsia="仿宋_GB2312" w:cs="宋体"/>
                <w:b/>
                <w:bCs/>
                <w:kern w:val="0"/>
                <w:sz w:val="32"/>
                <w:szCs w:val="32"/>
              </w:rPr>
              <w:t>单位性质</w:t>
            </w:r>
          </w:p>
        </w:tc>
        <w:tc>
          <w:tcPr>
            <w:tcW w:w="1244"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32"/>
                <w:szCs w:val="32"/>
              </w:rPr>
            </w:pPr>
            <w:r>
              <w:rPr>
                <w:rFonts w:hint="eastAsia" w:ascii="仿宋_GB2312" w:eastAsia="仿宋_GB2312" w:cs="宋体"/>
                <w:b/>
                <w:bCs/>
                <w:kern w:val="0"/>
                <w:sz w:val="32"/>
                <w:szCs w:val="32"/>
              </w:rPr>
              <w:t>单位规格</w:t>
            </w:r>
          </w:p>
        </w:tc>
        <w:tc>
          <w:tcPr>
            <w:tcW w:w="280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32"/>
                <w:szCs w:val="32"/>
              </w:rPr>
            </w:pPr>
            <w:r>
              <w:rPr>
                <w:rFonts w:hint="eastAsia" w:ascii="仿宋_GB2312" w:eastAsia="仿宋_GB2312" w:cs="宋体"/>
                <w:b/>
                <w:bCs/>
                <w:kern w:val="0"/>
                <w:sz w:val="32"/>
                <w:szCs w:val="32"/>
              </w:rPr>
              <w:t>经费保障形式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5" w:hRule="atLeast"/>
          <w:tblCellSpacing w:w="0" w:type="dxa"/>
          <w:jc w:val="center"/>
        </w:trPr>
        <w:tc>
          <w:tcPr>
            <w:tcW w:w="4296"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32"/>
                <w:szCs w:val="32"/>
              </w:rPr>
            </w:pPr>
            <w:r>
              <w:rPr>
                <w:rFonts w:hint="eastAsia" w:ascii="仿宋_GB2312" w:eastAsia="仿宋_GB2312" w:cs="宋体"/>
                <w:kern w:val="0"/>
                <w:sz w:val="32"/>
                <w:szCs w:val="32"/>
              </w:rPr>
              <w:t>廊坊市广阳区人民法院</w:t>
            </w:r>
          </w:p>
        </w:tc>
        <w:tc>
          <w:tcPr>
            <w:tcW w:w="1114"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32"/>
                <w:szCs w:val="32"/>
              </w:rPr>
            </w:pPr>
            <w:r>
              <w:rPr>
                <w:rFonts w:hint="eastAsia" w:ascii="仿宋_GB2312" w:eastAsia="仿宋_GB2312" w:cs="宋体"/>
                <w:kern w:val="0"/>
                <w:sz w:val="32"/>
                <w:szCs w:val="32"/>
              </w:rPr>
              <w:t>行政单位</w:t>
            </w:r>
          </w:p>
        </w:tc>
        <w:tc>
          <w:tcPr>
            <w:tcW w:w="1244"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32"/>
                <w:szCs w:val="32"/>
              </w:rPr>
            </w:pPr>
            <w:r>
              <w:rPr>
                <w:rFonts w:hint="eastAsia" w:ascii="仿宋_GB2312" w:eastAsia="仿宋_GB2312" w:cs="宋体"/>
                <w:kern w:val="0"/>
                <w:sz w:val="32"/>
                <w:szCs w:val="32"/>
              </w:rPr>
              <w:t>正科级</w:t>
            </w:r>
          </w:p>
        </w:tc>
        <w:tc>
          <w:tcPr>
            <w:tcW w:w="2806"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32"/>
                <w:szCs w:val="32"/>
              </w:rPr>
            </w:pPr>
            <w:r>
              <w:rPr>
                <w:rFonts w:hint="eastAsia" w:ascii="仿宋_GB2312" w:eastAsia="仿宋_GB2312" w:cs="宋体"/>
                <w:kern w:val="0"/>
                <w:sz w:val="32"/>
                <w:szCs w:val="32"/>
              </w:rPr>
              <w:t>财政拨款</w:t>
            </w:r>
          </w:p>
        </w:tc>
      </w:tr>
    </w:tbl>
    <w:p>
      <w:pPr>
        <w:widowControl/>
        <w:ind w:firstLine="480" w:firstLineChars="150"/>
        <w:jc w:val="left"/>
        <w:rPr>
          <w:rFonts w:ascii="黑体" w:eastAsia="黑体" w:cs="宋体"/>
          <w:color w:val="000000"/>
          <w:kern w:val="0"/>
          <w:sz w:val="32"/>
          <w:szCs w:val="32"/>
        </w:rPr>
      </w:pPr>
    </w:p>
    <w:p>
      <w:pPr>
        <w:widowControl/>
        <w:ind w:firstLine="480" w:firstLineChars="150"/>
        <w:jc w:val="left"/>
        <w:rPr>
          <w:rFonts w:ascii="仿宋_GB2312" w:eastAsia="仿宋_GB2312" w:cs="宋体"/>
          <w:color w:val="000000"/>
          <w:kern w:val="0"/>
          <w:sz w:val="32"/>
          <w:szCs w:val="32"/>
        </w:rPr>
      </w:pPr>
      <w:r>
        <w:rPr>
          <w:rFonts w:hint="eastAsia" w:ascii="黑体" w:eastAsia="黑体" w:cs="宋体"/>
          <w:color w:val="000000"/>
          <w:kern w:val="0"/>
          <w:sz w:val="32"/>
          <w:szCs w:val="32"/>
        </w:rPr>
        <w:t>二、部门预算安排的总体情况</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按照预算管理有关规定，目前我区部门预算的编制实行综合预算制度，即全部收入和支出都反映在预算中。</w:t>
      </w:r>
      <w:r>
        <w:rPr>
          <w:rFonts w:hint="eastAsia" w:ascii="仿宋_GB2312" w:eastAsia="仿宋_GB2312" w:cs="宋体"/>
          <w:color w:val="000000"/>
          <w:kern w:val="0"/>
          <w:sz w:val="32"/>
          <w:szCs w:val="32"/>
        </w:rPr>
        <w:br w:type="textWrapping"/>
      </w:r>
      <w:r>
        <w:rPr>
          <w:rFonts w:hint="eastAsia" w:ascii="宋体" w:hAnsi="宋体" w:eastAsia="仿宋_GB2312" w:cs="宋体"/>
          <w:b/>
          <w:bCs/>
          <w:color w:val="000000"/>
          <w:kern w:val="0"/>
          <w:sz w:val="32"/>
          <w:szCs w:val="32"/>
        </w:rPr>
        <w:t xml:space="preserve">    </w:t>
      </w:r>
      <w:r>
        <w:rPr>
          <w:rFonts w:hint="eastAsia" w:ascii="仿宋_GB2312" w:eastAsia="仿宋_GB2312" w:cs="宋体"/>
          <w:b/>
          <w:bCs/>
          <w:color w:val="000000"/>
          <w:kern w:val="0"/>
          <w:sz w:val="32"/>
          <w:szCs w:val="32"/>
        </w:rPr>
        <w:t>1、收入说明</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2017年预算收入2588.01万元，其中：一般公共预算收入2588.01万元，政府性基金收入0万元。</w:t>
      </w:r>
      <w:r>
        <w:rPr>
          <w:rFonts w:hint="eastAsia" w:ascii="仿宋_GB2312" w:eastAsia="仿宋_GB2312" w:cs="宋体"/>
          <w:color w:val="000000"/>
          <w:kern w:val="0"/>
          <w:sz w:val="32"/>
          <w:szCs w:val="32"/>
        </w:rPr>
        <w:br w:type="textWrapping"/>
      </w:r>
      <w:r>
        <w:rPr>
          <w:rFonts w:hint="eastAsia" w:ascii="宋体" w:hAnsi="宋体" w:eastAsia="仿宋_GB2312" w:cs="宋体"/>
          <w:b/>
          <w:bCs/>
          <w:color w:val="000000"/>
          <w:kern w:val="0"/>
          <w:sz w:val="32"/>
          <w:szCs w:val="32"/>
        </w:rPr>
        <w:t xml:space="preserve">    </w:t>
      </w:r>
      <w:r>
        <w:rPr>
          <w:rFonts w:hint="eastAsia" w:ascii="仿宋_GB2312" w:eastAsia="仿宋_GB2312" w:cs="宋体"/>
          <w:b/>
          <w:bCs/>
          <w:color w:val="000000"/>
          <w:kern w:val="0"/>
          <w:sz w:val="32"/>
          <w:szCs w:val="32"/>
        </w:rPr>
        <w:t>2、支出说明</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2017年支出预算2588.01万元，其中基本支出1970.08万元，包括人员经费和日常公用经费；项目支出617.93万元，主要为省级基层公检法司转移支付和中央政法转移支付资金。</w:t>
      </w:r>
      <w:r>
        <w:rPr>
          <w:rFonts w:hint="eastAsia" w:ascii="仿宋_GB2312" w:eastAsia="仿宋_GB2312" w:cs="宋体"/>
          <w:color w:val="000000"/>
          <w:kern w:val="0"/>
          <w:sz w:val="32"/>
          <w:szCs w:val="32"/>
        </w:rPr>
        <w:br w:type="textWrapping"/>
      </w:r>
      <w:r>
        <w:rPr>
          <w:rFonts w:hint="eastAsia" w:ascii="宋体" w:hAnsi="宋体" w:eastAsia="仿宋_GB2312" w:cs="宋体"/>
          <w:b/>
          <w:bCs/>
          <w:color w:val="000000"/>
          <w:kern w:val="0"/>
          <w:sz w:val="32"/>
          <w:szCs w:val="32"/>
        </w:rPr>
        <w:t xml:space="preserve">    </w:t>
      </w:r>
      <w:r>
        <w:rPr>
          <w:rFonts w:hint="eastAsia" w:ascii="仿宋_GB2312" w:eastAsia="仿宋_GB2312" w:cs="宋体"/>
          <w:b/>
          <w:bCs/>
          <w:color w:val="000000"/>
          <w:kern w:val="0"/>
          <w:sz w:val="32"/>
          <w:szCs w:val="32"/>
        </w:rPr>
        <w:t>3、比上年增减情况</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2017年预算收支安排2588.01万元，较2016年预算增加320.5万元，其中：基本支出增加272.25万元，主要为增加人员经费支出；项目支出增加48.25万元，主要为项目安排中的法警书记员工资提标，上级提前下达的转移支付资金增加。</w:t>
      </w:r>
    </w:p>
    <w:p>
      <w:pPr>
        <w:widowControl/>
        <w:ind w:firstLine="480" w:firstLineChars="150"/>
        <w:jc w:val="left"/>
        <w:rPr>
          <w:rFonts w:ascii="仿宋_GB2312" w:eastAsia="仿宋_GB2312" w:cs="宋体"/>
          <w:color w:val="000000"/>
          <w:kern w:val="0"/>
          <w:sz w:val="32"/>
          <w:szCs w:val="32"/>
        </w:rPr>
      </w:pPr>
      <w:r>
        <w:rPr>
          <w:rFonts w:hint="eastAsia" w:ascii="黑体" w:eastAsia="黑体" w:cs="宋体"/>
          <w:color w:val="000000"/>
          <w:kern w:val="0"/>
          <w:sz w:val="32"/>
          <w:szCs w:val="32"/>
        </w:rPr>
        <w:t>三、机关运行经费安排情况</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2017年预算安排我部门机关运行经费545.83万元，其中办公经费4.85万元，其他业务费540.98万元。</w:t>
      </w:r>
    </w:p>
    <w:p>
      <w:pPr>
        <w:widowControl/>
        <w:ind w:firstLine="480" w:firstLineChars="150"/>
        <w:jc w:val="left"/>
        <w:rPr>
          <w:rFonts w:ascii="仿宋_GB2312" w:eastAsia="仿宋_GB2312" w:cs="宋体"/>
          <w:color w:val="000000"/>
          <w:kern w:val="0"/>
          <w:sz w:val="32"/>
          <w:szCs w:val="32"/>
        </w:rPr>
      </w:pPr>
      <w:r>
        <w:rPr>
          <w:rFonts w:hint="eastAsia" w:ascii="黑体" w:eastAsia="黑体" w:cs="宋体"/>
          <w:color w:val="000000"/>
          <w:kern w:val="0"/>
          <w:sz w:val="32"/>
          <w:szCs w:val="32"/>
        </w:rPr>
        <w:t>四、财政拨款“三公”经费预算情况及增减变化原因</w:t>
      </w:r>
      <w:r>
        <w:rPr>
          <w:rFonts w:hint="eastAsia" w:ascii="黑体" w:eastAsia="黑体" w:cs="宋体"/>
          <w:color w:val="000000"/>
          <w:kern w:val="0"/>
          <w:sz w:val="32"/>
          <w:szCs w:val="32"/>
        </w:rPr>
        <w:br w:type="textWrapping"/>
      </w:r>
      <w:r>
        <w:rPr>
          <w:rFonts w:hint="eastAsia" w:ascii="仿宋_GB2312" w:eastAsia="仿宋_GB2312" w:cs="宋体"/>
          <w:color w:val="000000"/>
          <w:kern w:val="0"/>
          <w:sz w:val="32"/>
          <w:szCs w:val="32"/>
        </w:rPr>
        <w:t>2017年，我部门“三公”经费预算安排0万元，其中因公出国（境）费0万元；公务用车购置及运维费0万元（其中：公务用车购置费为0万元，公务用车运行费为0万元)；公务接待费0万元。与2016年持平、无增减变化。</w:t>
      </w:r>
    </w:p>
    <w:p>
      <w:pPr>
        <w:widowControl/>
        <w:ind w:firstLine="480" w:firstLineChars="150"/>
        <w:jc w:val="left"/>
        <w:rPr>
          <w:rFonts w:ascii="仿宋_GB2312" w:eastAsia="仿宋_GB2312" w:cs="宋体"/>
          <w:color w:val="000000"/>
          <w:kern w:val="0"/>
          <w:sz w:val="32"/>
          <w:szCs w:val="32"/>
        </w:rPr>
      </w:pPr>
    </w:p>
    <w:p>
      <w:pPr>
        <w:widowControl/>
        <w:ind w:firstLine="480" w:firstLineChars="150"/>
        <w:jc w:val="left"/>
        <w:rPr>
          <w:rFonts w:ascii="黑体" w:eastAsia="黑体" w:cs="宋体"/>
          <w:color w:val="000000"/>
          <w:kern w:val="0"/>
          <w:sz w:val="32"/>
          <w:szCs w:val="32"/>
        </w:rPr>
      </w:pPr>
      <w:r>
        <w:rPr>
          <w:rFonts w:hint="eastAsia" w:ascii="黑体" w:eastAsia="黑体" w:cs="宋体"/>
          <w:color w:val="000000"/>
          <w:kern w:val="0"/>
          <w:sz w:val="32"/>
          <w:szCs w:val="32"/>
        </w:rPr>
        <w:t>五、绩效预算信息</w:t>
      </w:r>
    </w:p>
    <w:p>
      <w:pPr>
        <w:widowControl/>
        <w:ind w:firstLine="482" w:firstLineChars="150"/>
        <w:jc w:val="left"/>
        <w:rPr>
          <w:rFonts w:ascii="仿宋_GB2312" w:eastAsia="仿宋_GB2312" w:cs="宋体"/>
          <w:color w:val="000000"/>
          <w:kern w:val="0"/>
          <w:sz w:val="32"/>
          <w:szCs w:val="32"/>
        </w:rPr>
      </w:pPr>
      <w:r>
        <w:rPr>
          <w:rFonts w:hint="eastAsia" w:ascii="仿宋_GB2312" w:eastAsia="仿宋_GB2312" w:cs="宋体"/>
          <w:b/>
          <w:bCs/>
          <w:color w:val="000000"/>
          <w:kern w:val="0"/>
          <w:sz w:val="32"/>
          <w:szCs w:val="32"/>
        </w:rPr>
        <w:t>总体绩效目标：</w:t>
      </w:r>
    </w:p>
    <w:p>
      <w:pPr>
        <w:widowControl/>
        <w:ind w:firstLine="480" w:firstLineChars="15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案件审判管理和执行，依法审判法律规定由县高级人民法院管辖的刑事、民事、行政等第一、二审案件，依法完成死刑案件复核工作，依法办理发生法律效力判决、其他法律文书的执行，做好审判管理工作。妥善审理经济转型过程中引发的各类矛盾纠纷，依法维护国家安全和社会稳定，严惩各类严重刑事犯罪，积极推进平安我县建设，营造良好的法治环境。</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案件审判，依法审判刑事、民事、行政案件和上级人民法院交由审判的案件；依法审理刑事民事、行政再审案件，人民检察院提出抗诉的案件。依法惩治刑事犯罪，监督行政机关依法行政，促进社会和谐，维护社会稳定，服务全县工作大局，发挥服务保障职能。案件调解率，依法惩治刑事犯罪增加调解减少上诉。案件判决执行，执行本院已经发生法律效力的法律文书和法律规定由本院执行的其他生效法律文书及委托执行案件。积极推进执行工作，切实保障群众合法权益，维护社会公平正义。执行案件执结时间，提前执结时间。执行案件执结率，执行本院已经发生法律效力的法律文书和法律规定数量与应执行数量比例。审判管理，规范、保障、促进审判执行工作，包括：案件信息管理、案件质量评估、案件质量评查、审判流程管理、审判运势分析等。完善审判质效评估体系，促进审判质效、健全司法权力运行机制，提升司法公信力。审判程序合规率，规范执行审判管理流程案件与全部案件的比例。司法技术辅助，开展司法技术辅助工作。对审判工作技术咨询、技术审核服务，主要工作包括：对外委托鉴定、评估、审计、拍卖、组织专家审核等。为案件审判提供技术支撑，提高办案质量。工作完成率，开展司法技术辅助工作数量与申请开展司法技术辅助工作的比例。司法救助和国家赔偿，完成涉法涉诉类案件的息诉罢访工作，依法办理国家赔偿案件。改革涉诉信访工作，推动涉诉信访问题在法治轨道内解决；落实司法为民措施，保护被侵权人合法利益，促进国家机关依法行使职权。完成涉法涉诉类上访案件的息诉罢访工作，做好“两会”、重大活动期间的维稳工作，接待分流越级上访人员、协助处理到上级法院的集体访和闹访人员的稳控遣返工作。保障信访工作正常进行，提高信访案件结案率、信访受理满意度，维护国家机关的正常工作秩序，做好稳控工作。信访案件结案率已按程序处理信访案件与全年受理信访案件比例。司法救助，对受到侵害但无法获得有效赔偿的当事人给予资助。不断完善司法救助，切实保护民生，让人民群众感受到司法以人为本，享受到司法人文关怀。司法救助数量，公正办理司法救助案件，尽可能提高司法救助数量。国家赔偿，依法办理国家赔偿案件，执行赔偿委员会决定事项，审查处理赔偿告诉申诉案件。主要工作包括调查、取证，审理。保护被侵害人的合法权益，促进行政机关依法行政。国家赔偿案件结案率，已按程序处理国家赔偿案件与全年受理国家赔偿案件比例。</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综合业务管理，加强法院系统队伍建设，加强法院基础设施及信息化建设，加强培训及法院文化建设；建立绩效考核制度，加强对外宣传以及舆论引导，树立法院良好形象。不断提高队伍素质和执法能力，推进信息公开，提升审判质效，改进司法工作作风，树立法院良好形象。综合业务管理工作完成率，各项综合业务管理工作完成情况。法院事务管理，系统综合业务管理和综合事务管理。提高队伍素质和执法能力，高质高效完成各项工作。综合业务管理，加强法院系统队伍建设，加强法院基础设施及信息化建设，加强培训及法院文化建设；建立绩效考核制度，加强对外宣传以及舆论引导，树立法院良好形象。不断提高队伍素质和执法能力，推进信息公开，提升审判质效，改进司法工作作风，树立法院良好形象。综合业务管理工作完成率各项综合业务管理工作完成情况。综合事务管理，领导县人民法院的监察工作；管理法院司法行政工作；承办其它应由县人民法院负责的工作。高质高效完成年度各项工作。各项保障工作完成率各项后勤保障工作完成情况。</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b/>
          <w:bCs/>
          <w:color w:val="000000"/>
          <w:kern w:val="0"/>
          <w:sz w:val="32"/>
          <w:szCs w:val="32"/>
        </w:rPr>
        <w:t>职责分类绩效目标：</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2017部门发展规划目标</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案件审判管理和执行，依法审判法律规定由县高级人民法院管辖的刑事、民事、行政等第一、二审案件，依法完成死刑案件复核工作，依法办理发生法律效力判决、其他法律文书的执行，做好审判管理工作。妥善审理经济转型过程中引发的各类矛盾纠纷，依法维护国家安全和社会稳定，严惩各类严重刑事犯罪，积极推进平安我县建设，营造良好的法治环境。</w:t>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案件审判，依法审判刑事、民事、行政案件和上级人民法院交由审判的案件；依法审理刑事、民事、行政再审案件，人民检察院提出抗诉的案件。依法惩治刑事犯罪，监督行政机关依法行政，促进社会和谐，维护社会稳定，服务全县工作大局，发挥服务保障职能。案件调解率，依法惩治刑事犯罪增加调解减少上诉。</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案件判决执行，执行本院已经发生法律效力的法律文书和法律规定由本院执行的其他生效法律文书及委托执行案件。积极推进执行工作，切实保障群众合法权益，维护社会公平正义。执行案件执结时间，提前执结时间。执行案件执结率，执行本院已经发生法律效力的法律文书和法律规定数量与应执行数量比例。</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审判管理，规范、保障、促进审判执行工作，包括：案件信息管理、案件质量评估、案件质量评查、审判流程管理、审判运势分析等。完善审判质效评估体系，促进审判质效、健全司法权力运行机制，提升司法公信力。审判程序合规率，规范执行审判管理流程案件与全部案件的比例。</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司法技术辅助，开展司法技术辅助工作。对审判工作技术咨询、技术审核服务，主要工作包括：对外委托鉴定、评估、审计、拍卖、组织专家审核等。为案件审判提供技术支撑，提高办案质量。工作完成率，开展司法技术辅助工作数量与申请开展司法技术辅助工作的比例。</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司法救助和国家赔偿，完成涉法涉诉类案件的息诉罢访工作，依法办理国家赔偿案件。改革涉诉信访工作，推动涉诉信访问题在法治轨道内解决；落实司法为民措施，保护被侵权人合法利益，促进国家机关依法行使职权。完成涉法涉诉类上访案件的息诉罢访工作，做好“两会”、重大活动期间的维稳工作，接待分流越级上访人员、协助处理到上级法院的集体访和闹访人员的稳控遣返工作。保障信访工作正常进行，提高信访案件结案率、信访受理满意度，维护国家机关的正常工作秩序，做好稳控工作。信访案件结案率已按程序处理信访案件与全年受理信访案件比例。</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司法救助，对受到侵害但无法获得有效赔偿的当事人给予资助。不断完善司法救助，切实保护民生，让人民群众感受到司法以人为本，享受到司法人文关怀。司法救助数量，公正办理司法救助案件，尽可能提高司法救助数量。</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国家赔偿，依法办理国家赔偿案件，执行赔偿委员会决定事项，审查处理赔偿告诉申诉案件。主要工作包括调查、取证，审理。保护被侵害人的合法权益，促进行政机关依法行政。国家赔偿案件结案率，已按程序处理国家赔偿案件与全年受理国家赔偿案件比例。</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综合业务管理，加强法院系统队伍建设，加强法院基础设施及信息化建设，加强培训及法院文化建设；建立绩效考核制度，加强对外宣传以及舆论引导，树立法院良好形象。不断提高队伍素质和执法能力，推进信息公开，提升审判质效，改进司法工作作风，树立法院良好形象。综合业务管理工作完成率，各项综合业务管理工作完成情况。</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法院事务管理，系统综合业务管理和综合事务管理。提高队伍素质和执法能力，高质高效完成各项工作。</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综合业务管理，加强法院系统队伍建设，加强法院基础设施及信息化建设，加强培训及法院文化建设；建立绩效考核制度，加强对外宣传以及舆论引导，树立法院良好形象。不断提高队伍素质和执法能力，推进信息公开，提升审判质效，改进司法工作作风，树立法院良好形象。综合业务管理工作完成率各项综合业务管理工作完成情况。综合事务管理，领导县人民法院的监察工作；管理法院司法行政工作；承办其它应由县人民法院负责的工作。高质高效完成年度各项工作。各项保障工作完成率各项后勤保障工作完成情况。</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部门职责-工作活动绩效目标</w:t>
      </w:r>
    </w:p>
    <w:tbl>
      <w:tblPr>
        <w:tblStyle w:val="4"/>
        <w:tblW w:w="9750"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299"/>
        <w:gridCol w:w="1173"/>
        <w:gridCol w:w="1965"/>
        <w:gridCol w:w="1780"/>
        <w:gridCol w:w="871"/>
        <w:gridCol w:w="735"/>
        <w:gridCol w:w="642"/>
        <w:gridCol w:w="642"/>
        <w:gridCol w:w="64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255" w:hRule="atLeast"/>
          <w:tblHeader/>
          <w:tblCellSpacing w:w="0" w:type="dxa"/>
          <w:jc w:val="center"/>
        </w:trPr>
        <w:tc>
          <w:tcPr>
            <w:tcW w:w="12255" w:type="dxa"/>
            <w:gridSpan w:val="5"/>
            <w:tcBorders>
              <w:top w:val="outset" w:color="auto" w:sz="6" w:space="0"/>
              <w:left w:val="outset" w:color="auto" w:sz="6" w:space="0"/>
              <w:bottom w:val="outset" w:color="auto" w:sz="6" w:space="0"/>
              <w:right w:val="outset" w:color="auto" w:sz="6" w:space="0"/>
            </w:tcBorders>
            <w:vAlign w:val="center"/>
          </w:tcPr>
          <w:p>
            <w:pPr>
              <w:widowControl/>
              <w:spacing w:line="360" w:lineRule="atLeas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368廊坊市广阳区人民法院</w:t>
            </w:r>
          </w:p>
        </w:tc>
        <w:tc>
          <w:tcPr>
            <w:tcW w:w="3300" w:type="dxa"/>
            <w:gridSpan w:val="4"/>
            <w:tcBorders>
              <w:top w:val="outset" w:color="auto" w:sz="6" w:space="0"/>
              <w:left w:val="outset" w:color="auto" w:sz="6" w:space="0"/>
              <w:bottom w:val="outset" w:color="auto" w:sz="6" w:space="0"/>
              <w:right w:val="outset" w:color="auto" w:sz="6" w:space="0"/>
            </w:tcBorders>
            <w:vAlign w:val="center"/>
          </w:tcPr>
          <w:p>
            <w:pPr>
              <w:widowControl/>
              <w:spacing w:line="360" w:lineRule="atLeas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单位：万元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Header/>
          <w:tblCellSpacing w:w="0" w:type="dxa"/>
          <w:jc w:val="center"/>
        </w:trPr>
        <w:tc>
          <w:tcPr>
            <w:tcW w:w="2610"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职责活动</w:t>
            </w:r>
          </w:p>
        </w:tc>
        <w:tc>
          <w:tcPr>
            <w:tcW w:w="1425"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年度预算数</w:t>
            </w:r>
          </w:p>
        </w:tc>
        <w:tc>
          <w:tcPr>
            <w:tcW w:w="3315"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内容描述</w:t>
            </w:r>
          </w:p>
        </w:tc>
        <w:tc>
          <w:tcPr>
            <w:tcW w:w="3315"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绩效目标</w:t>
            </w:r>
          </w:p>
        </w:tc>
        <w:tc>
          <w:tcPr>
            <w:tcW w:w="1575"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绩效指标</w:t>
            </w:r>
          </w:p>
        </w:tc>
        <w:tc>
          <w:tcPr>
            <w:tcW w:w="3300" w:type="dxa"/>
            <w:gridSpan w:val="4"/>
            <w:tcBorders>
              <w:top w:val="outset" w:color="auto" w:sz="6" w:space="0"/>
              <w:left w:val="outset" w:color="auto" w:sz="6" w:space="0"/>
              <w:bottom w:val="outset" w:color="auto" w:sz="6" w:space="0"/>
              <w:right w:val="outset" w:color="auto" w:sz="6" w:space="0"/>
            </w:tcBorders>
            <w:vAlign w:val="center"/>
          </w:tcPr>
          <w:p>
            <w:pPr>
              <w:widowControl/>
              <w:spacing w:line="360" w:lineRule="atLeas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评价标准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Header/>
          <w:tblCellSpacing w:w="0" w:type="dxa"/>
          <w:jc w:val="center"/>
        </w:trPr>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优</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良</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中</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2610"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b/>
                <w:bCs/>
                <w:color w:val="000000"/>
                <w:kern w:val="0"/>
                <w:sz w:val="32"/>
                <w:szCs w:val="32"/>
              </w:rPr>
              <w:t>案件审判管理和执行</w:t>
            </w:r>
          </w:p>
        </w:tc>
        <w:tc>
          <w:tcPr>
            <w:tcW w:w="14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314.25</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依法审判法律规定由县高级人民法院管辖的刑事、民事、行政等第一、二审案件，依法完成死刑案件复核工作，依法办理发生法律效力判决、其他法律文书的执行，做好审判管理工作。</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妥善审理经济转型过程中引发的各类矛盾纠纷，依法维护国家安全和社会稳定，严惩各类严重刑事犯罪，积极推进平安我县建设，营造良好的法治环境。</w:t>
            </w:r>
          </w:p>
        </w:tc>
        <w:tc>
          <w:tcPr>
            <w:tcW w:w="157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2610"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b/>
                <w:bCs/>
                <w:color w:val="000000"/>
                <w:kern w:val="0"/>
                <w:sz w:val="32"/>
                <w:szCs w:val="32"/>
              </w:rPr>
              <w:t>　　案件审判</w:t>
            </w:r>
          </w:p>
        </w:tc>
        <w:tc>
          <w:tcPr>
            <w:tcW w:w="1425"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 </w:t>
            </w:r>
          </w:p>
        </w:tc>
        <w:tc>
          <w:tcPr>
            <w:tcW w:w="3315"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依法审判刑事、民事、行政案件和上级人民法院交由审判的案件；依法审理刑事、民事、行政再审案件，人民检察院提出抗诉的案件。</w:t>
            </w:r>
          </w:p>
        </w:tc>
        <w:tc>
          <w:tcPr>
            <w:tcW w:w="3315"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依法惩治刑事犯罪，监督行政机关依法行政，促进社会和谐，维护社会稳定，服务全县工作大局，发挥服务保障职能。</w:t>
            </w:r>
          </w:p>
        </w:tc>
        <w:tc>
          <w:tcPr>
            <w:tcW w:w="157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案件结案率</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85％及以上</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80％及以上</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75％及以上</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75％以下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157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结案时间</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10%及以上</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5%及以上</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正常</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超出审限时间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157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案件调解率</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2610"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b/>
                <w:bCs/>
                <w:color w:val="000000"/>
                <w:kern w:val="0"/>
                <w:sz w:val="32"/>
                <w:szCs w:val="32"/>
              </w:rPr>
              <w:t>　　案件判决执行</w:t>
            </w:r>
          </w:p>
        </w:tc>
        <w:tc>
          <w:tcPr>
            <w:tcW w:w="1425"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 </w:t>
            </w:r>
          </w:p>
        </w:tc>
        <w:tc>
          <w:tcPr>
            <w:tcW w:w="3315"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执行本院已经发生法律效力的法律文书和法律规定由本院执行的其他生效法律文书及委托执行案件。</w:t>
            </w:r>
          </w:p>
        </w:tc>
        <w:tc>
          <w:tcPr>
            <w:tcW w:w="3315"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积极推进执行工作，切实保障群众合法权益，维护社会公平正义。</w:t>
            </w:r>
          </w:p>
        </w:tc>
        <w:tc>
          <w:tcPr>
            <w:tcW w:w="157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执行案件执结率</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70％及以上</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65％及以上</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60％及以上</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60％以下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157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执行案件执结时间</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10%及以上</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5%及以上</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正常</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超出执限时间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2610"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b/>
                <w:bCs/>
                <w:color w:val="000000"/>
                <w:kern w:val="0"/>
                <w:sz w:val="32"/>
                <w:szCs w:val="32"/>
              </w:rPr>
              <w:t>　　审判管理</w:t>
            </w:r>
          </w:p>
        </w:tc>
        <w:tc>
          <w:tcPr>
            <w:tcW w:w="14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 </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规范、保障、促进审判执行工作，包括：案件信息管理、案件质量评估、案件质量评查、审判流程管理、审判运势分析等。</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完善审判质效评估体系，促进审判质效、健全司法权力运行机制，提升司法公信力。</w:t>
            </w:r>
          </w:p>
        </w:tc>
        <w:tc>
          <w:tcPr>
            <w:tcW w:w="157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审判程序合规率</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100%</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80%及以上</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60%及以上</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60%以下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2610"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b/>
                <w:bCs/>
                <w:color w:val="000000"/>
                <w:kern w:val="0"/>
                <w:sz w:val="32"/>
                <w:szCs w:val="32"/>
              </w:rPr>
              <w:t>　　司法技术辅助</w:t>
            </w:r>
          </w:p>
        </w:tc>
        <w:tc>
          <w:tcPr>
            <w:tcW w:w="14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314.25</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开展司法技术辅助工作。对审判工作技术咨询、技术审核服务，主要工作包括：对外委托鉴定、评估、审计、拍卖、组织专家审核等。</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为案件审判提供技术支撑，提高办案质量。</w:t>
            </w:r>
          </w:p>
        </w:tc>
        <w:tc>
          <w:tcPr>
            <w:tcW w:w="157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工作完成率</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95%及以上</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90%及以上</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85%及以上</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85%以下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2610"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b/>
                <w:bCs/>
                <w:color w:val="000000"/>
                <w:kern w:val="0"/>
                <w:sz w:val="32"/>
                <w:szCs w:val="32"/>
              </w:rPr>
              <w:t>司法救助和国家赔偿</w:t>
            </w:r>
          </w:p>
        </w:tc>
        <w:tc>
          <w:tcPr>
            <w:tcW w:w="14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 </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完成涉法涉诉类案件的息诉罢访工作，依法办理国家赔偿案件。</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改革涉诉信访工作，推动涉诉信访问题在法治轨道内解决；落实司法为民措施，保护被侵权人合法利益，促进国家机关依法行使职权。</w:t>
            </w:r>
          </w:p>
        </w:tc>
        <w:tc>
          <w:tcPr>
            <w:tcW w:w="157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2610"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b/>
                <w:bCs/>
                <w:color w:val="000000"/>
                <w:kern w:val="0"/>
                <w:sz w:val="32"/>
                <w:szCs w:val="32"/>
              </w:rPr>
              <w:t>　　涉法涉诉</w:t>
            </w:r>
          </w:p>
        </w:tc>
        <w:tc>
          <w:tcPr>
            <w:tcW w:w="14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 </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完成涉法涉诉类上访案件的息诉罢访工作，做好“两会”、重大活动期间的维稳工作，接待分流越级上访人员、协助处理到上级法院的集体访和闹访人员的稳控遣返工作。</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保障信访工作正常进行，提高信访案件结案率、信访受理满意度，维护国家机关的正常工作秩序，做好稳控工作。</w:t>
            </w:r>
          </w:p>
        </w:tc>
        <w:tc>
          <w:tcPr>
            <w:tcW w:w="157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信访案件结案率</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90%及以上</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80%及以上</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60%及以上</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60%以下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2610"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b/>
                <w:bCs/>
                <w:color w:val="000000"/>
                <w:kern w:val="0"/>
                <w:sz w:val="32"/>
                <w:szCs w:val="32"/>
              </w:rPr>
              <w:t>　　司法救助</w:t>
            </w:r>
          </w:p>
        </w:tc>
        <w:tc>
          <w:tcPr>
            <w:tcW w:w="1425"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 </w:t>
            </w:r>
          </w:p>
        </w:tc>
        <w:tc>
          <w:tcPr>
            <w:tcW w:w="3315"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对受到侵害但无法获得有效赔偿的当事人给予资助。</w:t>
            </w:r>
          </w:p>
        </w:tc>
        <w:tc>
          <w:tcPr>
            <w:tcW w:w="3315"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不断完善司法救助，切实保护民生，让人民群众感受到司法以人为本，享受到司法人文关怀。</w:t>
            </w:r>
          </w:p>
        </w:tc>
        <w:tc>
          <w:tcPr>
            <w:tcW w:w="157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司法救助数量</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批复到位的救助资金发放率95%以上</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批复到位的救助资金发放率90%以上</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批复到位的救助资金发放率85%以上</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批复到位的救助资金发放率80%以上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157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息诉罢访率</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90%及以上</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80%及以上</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60%及以上</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60%以下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2610"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b/>
                <w:bCs/>
                <w:color w:val="000000"/>
                <w:kern w:val="0"/>
                <w:sz w:val="32"/>
                <w:szCs w:val="32"/>
              </w:rPr>
              <w:t>　　国家赔偿</w:t>
            </w:r>
          </w:p>
        </w:tc>
        <w:tc>
          <w:tcPr>
            <w:tcW w:w="14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 </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依法办理国家赔偿案件，执行赔偿委员会决定事项，审查处理赔偿告诉申诉案件。主要工作包括调查、取证，审理。</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保护被侵害人的合法权益，促进行政机关依法行政。</w:t>
            </w:r>
          </w:p>
        </w:tc>
        <w:tc>
          <w:tcPr>
            <w:tcW w:w="157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国家赔偿案件结案率</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90％及以上</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85％及以上</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80％及以上</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80％以下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2610"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b/>
                <w:bCs/>
                <w:color w:val="000000"/>
                <w:kern w:val="0"/>
                <w:sz w:val="32"/>
                <w:szCs w:val="32"/>
              </w:rPr>
              <w:t>法院事务管理</w:t>
            </w:r>
          </w:p>
        </w:tc>
        <w:tc>
          <w:tcPr>
            <w:tcW w:w="14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303.68</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系统综合业务管理和综合事务管理。</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提高队伍素质和执法能力，高质高效完成各项工作。</w:t>
            </w:r>
          </w:p>
        </w:tc>
        <w:tc>
          <w:tcPr>
            <w:tcW w:w="157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2610"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b/>
                <w:bCs/>
                <w:color w:val="000000"/>
                <w:kern w:val="0"/>
                <w:sz w:val="32"/>
                <w:szCs w:val="32"/>
              </w:rPr>
              <w:t>　　综合业务管理</w:t>
            </w:r>
          </w:p>
        </w:tc>
        <w:tc>
          <w:tcPr>
            <w:tcW w:w="14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303.68</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加强法院系统队伍建设，加强法院基础设施及信息化建设，加强培训及法院文化建设；建立绩效考核制度，加强对外宣传以及舆论引导，树立法院良好形象。</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不断提高队伍素质和执法能力，推进信息公开，提升审判质效，改进司法工作作风，树立法院良好形象。</w:t>
            </w:r>
          </w:p>
        </w:tc>
        <w:tc>
          <w:tcPr>
            <w:tcW w:w="157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综合业务管理工作完成率</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90％及以上</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85％及以上</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80％及以上</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80％以下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2610"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b/>
                <w:bCs/>
                <w:color w:val="000000"/>
                <w:kern w:val="0"/>
                <w:sz w:val="32"/>
                <w:szCs w:val="32"/>
              </w:rPr>
              <w:t>　　综合事务管理</w:t>
            </w:r>
          </w:p>
        </w:tc>
        <w:tc>
          <w:tcPr>
            <w:tcW w:w="14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 </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领导县人民法院的监察工作；管理法院司法行政工作；承办其它应由县人民法院负责的工作。</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高质高效完成年度各项工作。</w:t>
            </w:r>
          </w:p>
        </w:tc>
        <w:tc>
          <w:tcPr>
            <w:tcW w:w="157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各项保障工作完成率</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90％及以上</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85％及以上</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80％及以上</w:t>
            </w:r>
          </w:p>
        </w:tc>
        <w:tc>
          <w:tcPr>
            <w:tcW w:w="82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80％以下</w:t>
            </w:r>
          </w:p>
        </w:tc>
      </w:tr>
    </w:tbl>
    <w:p>
      <w:pPr>
        <w:widowControl/>
        <w:spacing w:line="360" w:lineRule="atLeast"/>
        <w:jc w:val="left"/>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widowControl/>
        <w:jc w:val="left"/>
        <w:rPr>
          <w:rFonts w:ascii="仿宋_GB2312" w:eastAsia="仿宋_GB2312" w:cs="宋体"/>
          <w:color w:val="000000"/>
          <w:kern w:val="0"/>
          <w:sz w:val="32"/>
          <w:szCs w:val="32"/>
        </w:rPr>
      </w:pPr>
      <w:r>
        <w:rPr>
          <w:rFonts w:hint="eastAsia" w:ascii="宋体" w:hAnsi="宋体" w:eastAsia="黑体" w:cs="宋体"/>
          <w:color w:val="000000"/>
          <w:kern w:val="0"/>
          <w:sz w:val="32"/>
          <w:szCs w:val="32"/>
        </w:rPr>
        <w:t> </w:t>
      </w:r>
      <w:r>
        <w:rPr>
          <w:rFonts w:hint="eastAsia" w:ascii="黑体" w:eastAsia="黑体" w:cs="宋体"/>
          <w:color w:val="000000"/>
          <w:kern w:val="0"/>
          <w:sz w:val="32"/>
          <w:szCs w:val="32"/>
        </w:rPr>
        <w:t>六、政府采购预算情况</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2017年，我部门未安排政府采购预算。</w:t>
      </w:r>
      <w:r>
        <w:rPr>
          <w:rFonts w:hint="eastAsia" w:ascii="仿宋_GB2312" w:eastAsia="仿宋_GB2312" w:cs="宋体"/>
          <w:color w:val="000000"/>
          <w:kern w:val="0"/>
          <w:sz w:val="32"/>
          <w:szCs w:val="32"/>
        </w:rPr>
        <w:br w:type="textWrapping"/>
      </w:r>
    </w:p>
    <w:p>
      <w:pPr>
        <w:widowControl/>
        <w:jc w:val="left"/>
        <w:rPr>
          <w:rFonts w:ascii="仿宋_GB2312" w:eastAsia="仿宋_GB2312" w:cs="宋体"/>
          <w:color w:val="000000"/>
          <w:kern w:val="0"/>
          <w:sz w:val="32"/>
          <w:szCs w:val="32"/>
        </w:rPr>
      </w:pPr>
    </w:p>
    <w:p>
      <w:pPr>
        <w:widowControl/>
        <w:jc w:val="left"/>
        <w:rPr>
          <w:rFonts w:ascii="仿宋_GB2312" w:eastAsia="仿宋_GB2312" w:cs="宋体"/>
          <w:color w:val="000000"/>
          <w:kern w:val="0"/>
          <w:sz w:val="32"/>
          <w:szCs w:val="32"/>
        </w:rPr>
      </w:pPr>
    </w:p>
    <w:p>
      <w:pPr>
        <w:widowControl/>
        <w:jc w:val="left"/>
        <w:rPr>
          <w:rFonts w:ascii="仿宋_GB2312" w:eastAsia="仿宋_GB2312" w:cs="宋体"/>
          <w:color w:val="000000"/>
          <w:kern w:val="0"/>
          <w:sz w:val="32"/>
          <w:szCs w:val="32"/>
        </w:rPr>
      </w:pPr>
    </w:p>
    <w:p>
      <w:pPr>
        <w:widowControl/>
        <w:jc w:val="left"/>
        <w:rPr>
          <w:rFonts w:ascii="仿宋_GB2312" w:eastAsia="仿宋_GB2312" w:cs="宋体"/>
          <w:color w:val="000000"/>
          <w:kern w:val="0"/>
          <w:sz w:val="32"/>
          <w:szCs w:val="32"/>
        </w:rPr>
      </w:pPr>
    </w:p>
    <w:tbl>
      <w:tblPr>
        <w:tblStyle w:val="4"/>
        <w:tblW w:w="511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276"/>
        <w:gridCol w:w="1010"/>
        <w:gridCol w:w="832"/>
        <w:gridCol w:w="1325"/>
        <w:gridCol w:w="832"/>
        <w:gridCol w:w="832"/>
        <w:gridCol w:w="865"/>
        <w:gridCol w:w="851"/>
        <w:gridCol w:w="851"/>
        <w:gridCol w:w="851"/>
        <w:gridCol w:w="774"/>
        <w:gridCol w:w="834"/>
        <w:gridCol w:w="843"/>
        <w:gridCol w:w="7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95" w:type="pct"/>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_GB2312" w:eastAsia="仿宋_GB2312" w:cs="Times New Roman"/>
                <w:sz w:val="32"/>
                <w:szCs w:val="32"/>
              </w:rPr>
            </w:pPr>
            <w:r>
              <w:rPr>
                <w:rFonts w:hint="eastAsia" w:ascii="仿宋_GB2312" w:eastAsia="仿宋_GB2312" w:cs="宋体"/>
                <w:color w:val="000000"/>
                <w:kern w:val="0"/>
                <w:sz w:val="32"/>
                <w:szCs w:val="32"/>
              </w:rPr>
              <w:t>廊坊市广阳区</w:t>
            </w:r>
            <w:r>
              <w:rPr>
                <w:rFonts w:ascii="仿宋_GB2312" w:eastAsia="仿宋_GB2312" w:cs="宋体"/>
                <w:color w:val="000000"/>
                <w:kern w:val="0"/>
                <w:sz w:val="32"/>
                <w:szCs w:val="32"/>
              </w:rPr>
              <w:t>人民法院</w:t>
            </w:r>
          </w:p>
        </w:tc>
        <w:tc>
          <w:tcPr>
            <w:tcW w:w="2104" w:type="pct"/>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_GB2312" w:eastAsia="仿宋_GB2312" w:cs="Times New Roman"/>
                <w:sz w:val="32"/>
                <w:szCs w:val="32"/>
              </w:rPr>
            </w:pPr>
            <w:r>
              <w:rPr>
                <w:rFonts w:hint="eastAsia" w:ascii="仿宋_GB2312" w:eastAsia="仿宋_GB2312" w:cs="Times New Roman"/>
                <w:sz w:val="32"/>
                <w:szCs w:val="3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94" w:type="pct"/>
            <w:gridSpan w:val="2"/>
            <w:shd w:val="clear" w:color="auto" w:fill="auto"/>
            <w:vAlign w:val="center"/>
          </w:tcPr>
          <w:p>
            <w:pPr>
              <w:spacing w:line="300" w:lineRule="exact"/>
              <w:jc w:val="center"/>
              <w:rPr>
                <w:rFonts w:ascii="仿宋_GB2312" w:eastAsia="仿宋_GB2312" w:cs="Times New Roman"/>
                <w:b/>
                <w:sz w:val="32"/>
                <w:szCs w:val="32"/>
              </w:rPr>
            </w:pPr>
            <w:r>
              <w:rPr>
                <w:rFonts w:hint="eastAsia" w:ascii="仿宋_GB2312" w:eastAsia="仿宋_GB2312" w:cs="Times New Roman"/>
                <w:b/>
                <w:sz w:val="32"/>
                <w:szCs w:val="32"/>
              </w:rPr>
              <w:t>政府采购项目来源</w:t>
            </w:r>
          </w:p>
        </w:tc>
        <w:tc>
          <w:tcPr>
            <w:tcW w:w="302" w:type="pct"/>
            <w:vMerge w:val="restart"/>
            <w:shd w:val="clear" w:color="auto" w:fill="auto"/>
            <w:vAlign w:val="center"/>
          </w:tcPr>
          <w:p>
            <w:pPr>
              <w:spacing w:line="300" w:lineRule="exact"/>
              <w:jc w:val="center"/>
              <w:rPr>
                <w:rFonts w:ascii="仿宋_GB2312" w:eastAsia="仿宋_GB2312" w:cs="Times New Roman"/>
                <w:b/>
                <w:sz w:val="32"/>
                <w:szCs w:val="32"/>
              </w:rPr>
            </w:pPr>
            <w:r>
              <w:rPr>
                <w:rFonts w:hint="eastAsia" w:ascii="仿宋_GB2312" w:eastAsia="仿宋_GB2312" w:cs="Times New Roman"/>
                <w:b/>
                <w:sz w:val="32"/>
                <w:szCs w:val="32"/>
              </w:rPr>
              <w:t>采购物品名称</w:t>
            </w:r>
          </w:p>
        </w:tc>
        <w:tc>
          <w:tcPr>
            <w:tcW w:w="481" w:type="pct"/>
            <w:vMerge w:val="restart"/>
            <w:shd w:val="clear" w:color="auto" w:fill="auto"/>
            <w:vAlign w:val="center"/>
          </w:tcPr>
          <w:p>
            <w:pPr>
              <w:spacing w:line="300" w:lineRule="exact"/>
              <w:jc w:val="center"/>
              <w:rPr>
                <w:rFonts w:ascii="仿宋_GB2312" w:eastAsia="仿宋_GB2312" w:cs="Times New Roman"/>
                <w:b/>
                <w:sz w:val="32"/>
                <w:szCs w:val="32"/>
              </w:rPr>
            </w:pPr>
            <w:r>
              <w:rPr>
                <w:rFonts w:hint="eastAsia" w:ascii="仿宋_GB2312" w:eastAsia="仿宋_GB2312" w:cs="Times New Roman"/>
                <w:b/>
                <w:sz w:val="32"/>
                <w:szCs w:val="32"/>
              </w:rPr>
              <w:t>政府采购目录序号</w:t>
            </w:r>
          </w:p>
        </w:tc>
        <w:tc>
          <w:tcPr>
            <w:tcW w:w="302" w:type="pct"/>
            <w:vMerge w:val="restart"/>
            <w:shd w:val="clear" w:color="auto" w:fill="auto"/>
            <w:vAlign w:val="center"/>
          </w:tcPr>
          <w:p>
            <w:pPr>
              <w:spacing w:line="300" w:lineRule="exact"/>
              <w:jc w:val="center"/>
              <w:rPr>
                <w:rFonts w:ascii="仿宋_GB2312" w:eastAsia="仿宋_GB2312" w:cs="Times New Roman"/>
                <w:b/>
                <w:sz w:val="32"/>
                <w:szCs w:val="32"/>
              </w:rPr>
            </w:pPr>
            <w:r>
              <w:rPr>
                <w:rFonts w:hint="eastAsia" w:ascii="仿宋_GB2312" w:eastAsia="仿宋_GB2312" w:cs="Times New Roman"/>
                <w:b/>
                <w:sz w:val="32"/>
                <w:szCs w:val="32"/>
              </w:rPr>
              <w:t>数量  单位</w:t>
            </w:r>
          </w:p>
        </w:tc>
        <w:tc>
          <w:tcPr>
            <w:tcW w:w="302" w:type="pct"/>
            <w:vMerge w:val="restart"/>
            <w:shd w:val="clear" w:color="auto" w:fill="auto"/>
            <w:vAlign w:val="center"/>
          </w:tcPr>
          <w:p>
            <w:pPr>
              <w:spacing w:line="300" w:lineRule="exact"/>
              <w:jc w:val="center"/>
              <w:rPr>
                <w:rFonts w:ascii="仿宋_GB2312" w:eastAsia="仿宋_GB2312" w:cs="Times New Roman"/>
                <w:b/>
                <w:sz w:val="32"/>
                <w:szCs w:val="32"/>
              </w:rPr>
            </w:pPr>
            <w:r>
              <w:rPr>
                <w:rFonts w:hint="eastAsia" w:ascii="仿宋_GB2312" w:eastAsia="仿宋_GB2312" w:cs="Times New Roman"/>
                <w:b/>
                <w:sz w:val="32"/>
                <w:szCs w:val="32"/>
              </w:rPr>
              <w:t>数量</w:t>
            </w:r>
          </w:p>
        </w:tc>
        <w:tc>
          <w:tcPr>
            <w:tcW w:w="310" w:type="pct"/>
            <w:vMerge w:val="restart"/>
            <w:shd w:val="clear" w:color="auto" w:fill="auto"/>
            <w:vAlign w:val="center"/>
          </w:tcPr>
          <w:p>
            <w:pPr>
              <w:spacing w:line="300" w:lineRule="exact"/>
              <w:jc w:val="center"/>
              <w:rPr>
                <w:rFonts w:ascii="仿宋_GB2312" w:eastAsia="仿宋_GB2312" w:cs="Times New Roman"/>
                <w:b/>
                <w:sz w:val="32"/>
                <w:szCs w:val="32"/>
              </w:rPr>
            </w:pPr>
            <w:r>
              <w:rPr>
                <w:rFonts w:hint="eastAsia" w:ascii="仿宋_GB2312" w:eastAsia="仿宋_GB2312" w:cs="Times New Roman"/>
                <w:b/>
                <w:sz w:val="32"/>
                <w:szCs w:val="32"/>
              </w:rPr>
              <w:t>单价</w:t>
            </w:r>
          </w:p>
        </w:tc>
        <w:tc>
          <w:tcPr>
            <w:tcW w:w="2104" w:type="pct"/>
            <w:gridSpan w:val="7"/>
            <w:shd w:val="clear" w:color="auto" w:fill="auto"/>
            <w:vAlign w:val="center"/>
          </w:tcPr>
          <w:p>
            <w:pPr>
              <w:spacing w:line="300" w:lineRule="exact"/>
              <w:jc w:val="center"/>
              <w:rPr>
                <w:rFonts w:ascii="仿宋_GB2312" w:eastAsia="仿宋_GB2312" w:cs="Times New Roman"/>
                <w:b/>
                <w:sz w:val="32"/>
                <w:szCs w:val="32"/>
              </w:rPr>
            </w:pPr>
            <w:r>
              <w:rPr>
                <w:rFonts w:hint="eastAsia" w:ascii="仿宋_GB2312" w:eastAsia="仿宋_GB2312" w:cs="Times New Roman"/>
                <w:b/>
                <w:sz w:val="32"/>
                <w:szCs w:val="32"/>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7" w:type="pct"/>
            <w:vMerge w:val="restart"/>
            <w:shd w:val="clear" w:color="auto" w:fill="auto"/>
            <w:vAlign w:val="center"/>
          </w:tcPr>
          <w:p>
            <w:pPr>
              <w:spacing w:line="300" w:lineRule="exact"/>
              <w:jc w:val="center"/>
              <w:rPr>
                <w:rFonts w:ascii="仿宋_GB2312" w:eastAsia="仿宋_GB2312" w:cs="Times New Roman"/>
                <w:b/>
                <w:sz w:val="32"/>
                <w:szCs w:val="32"/>
              </w:rPr>
            </w:pPr>
            <w:r>
              <w:rPr>
                <w:rFonts w:hint="eastAsia" w:ascii="仿宋_GB2312" w:eastAsia="仿宋_GB2312" w:cs="Times New Roman"/>
                <w:b/>
                <w:sz w:val="32"/>
                <w:szCs w:val="32"/>
              </w:rPr>
              <w:t>项目名称</w:t>
            </w:r>
          </w:p>
        </w:tc>
        <w:tc>
          <w:tcPr>
            <w:tcW w:w="367" w:type="pct"/>
            <w:vMerge w:val="restart"/>
            <w:shd w:val="clear" w:color="auto" w:fill="auto"/>
            <w:vAlign w:val="center"/>
          </w:tcPr>
          <w:p>
            <w:pPr>
              <w:spacing w:line="300" w:lineRule="exact"/>
              <w:jc w:val="center"/>
              <w:rPr>
                <w:rFonts w:ascii="仿宋_GB2312" w:eastAsia="仿宋_GB2312" w:cs="Times New Roman"/>
                <w:b/>
                <w:sz w:val="32"/>
                <w:szCs w:val="32"/>
              </w:rPr>
            </w:pPr>
            <w:r>
              <w:rPr>
                <w:rFonts w:hint="eastAsia" w:ascii="仿宋_GB2312" w:eastAsia="仿宋_GB2312" w:cs="Times New Roman"/>
                <w:b/>
                <w:sz w:val="32"/>
                <w:szCs w:val="32"/>
              </w:rPr>
              <w:t>预算资金</w:t>
            </w:r>
          </w:p>
        </w:tc>
        <w:tc>
          <w:tcPr>
            <w:tcW w:w="303" w:type="pct"/>
            <w:vMerge w:val="continue"/>
            <w:shd w:val="clear" w:color="auto" w:fill="auto"/>
            <w:vAlign w:val="center"/>
          </w:tcPr>
          <w:p/>
        </w:tc>
        <w:tc>
          <w:tcPr>
            <w:tcW w:w="482" w:type="pct"/>
            <w:vMerge w:val="continue"/>
            <w:shd w:val="clear" w:color="auto" w:fill="auto"/>
            <w:vAlign w:val="center"/>
          </w:tcPr>
          <w:p/>
        </w:tc>
        <w:tc>
          <w:tcPr>
            <w:tcW w:w="303" w:type="pct"/>
            <w:vMerge w:val="continue"/>
            <w:shd w:val="clear" w:color="auto" w:fill="auto"/>
            <w:vAlign w:val="center"/>
          </w:tcPr>
          <w:p/>
        </w:tc>
        <w:tc>
          <w:tcPr>
            <w:tcW w:w="303" w:type="pct"/>
            <w:vMerge w:val="continue"/>
            <w:shd w:val="clear" w:color="auto" w:fill="auto"/>
            <w:vAlign w:val="center"/>
          </w:tcPr>
          <w:p/>
        </w:tc>
        <w:tc>
          <w:tcPr>
            <w:tcW w:w="310" w:type="pct"/>
            <w:vMerge w:val="continue"/>
            <w:shd w:val="clear" w:color="auto" w:fill="auto"/>
            <w:vAlign w:val="center"/>
          </w:tcPr>
          <w:p/>
        </w:tc>
        <w:tc>
          <w:tcPr>
            <w:tcW w:w="309" w:type="pct"/>
            <w:vMerge w:val="restart"/>
            <w:shd w:val="clear" w:color="auto" w:fill="auto"/>
            <w:vAlign w:val="center"/>
          </w:tcPr>
          <w:p>
            <w:pPr>
              <w:spacing w:line="300" w:lineRule="exact"/>
              <w:jc w:val="center"/>
              <w:rPr>
                <w:rFonts w:ascii="仿宋_GB2312" w:eastAsia="仿宋_GB2312" w:cs="Times New Roman"/>
                <w:b/>
                <w:sz w:val="32"/>
                <w:szCs w:val="32"/>
              </w:rPr>
            </w:pPr>
            <w:r>
              <w:rPr>
                <w:rFonts w:hint="eastAsia" w:ascii="仿宋_GB2312" w:eastAsia="仿宋_GB2312" w:cs="Times New Roman"/>
                <w:b/>
                <w:sz w:val="32"/>
                <w:szCs w:val="32"/>
              </w:rPr>
              <w:t>总计</w:t>
            </w:r>
          </w:p>
        </w:tc>
        <w:tc>
          <w:tcPr>
            <w:tcW w:w="1508" w:type="pct"/>
            <w:gridSpan w:val="5"/>
            <w:shd w:val="clear" w:color="auto" w:fill="auto"/>
            <w:vAlign w:val="center"/>
          </w:tcPr>
          <w:p>
            <w:pPr>
              <w:spacing w:line="300" w:lineRule="exact"/>
              <w:jc w:val="center"/>
              <w:rPr>
                <w:rFonts w:ascii="仿宋_GB2312" w:eastAsia="仿宋_GB2312" w:cs="Times New Roman"/>
                <w:b/>
                <w:sz w:val="32"/>
                <w:szCs w:val="32"/>
              </w:rPr>
            </w:pPr>
            <w:r>
              <w:rPr>
                <w:rFonts w:hint="eastAsia" w:ascii="仿宋_GB2312" w:eastAsia="仿宋_GB2312" w:cs="Times New Roman"/>
                <w:b/>
                <w:sz w:val="32"/>
                <w:szCs w:val="32"/>
              </w:rPr>
              <w:t>当年部门预算安排资金</w:t>
            </w:r>
          </w:p>
        </w:tc>
        <w:tc>
          <w:tcPr>
            <w:tcW w:w="285" w:type="pct"/>
            <w:vMerge w:val="restart"/>
            <w:shd w:val="clear" w:color="auto" w:fill="auto"/>
            <w:vAlign w:val="center"/>
          </w:tcPr>
          <w:p>
            <w:pPr>
              <w:spacing w:line="300" w:lineRule="exact"/>
              <w:jc w:val="center"/>
              <w:rPr>
                <w:rFonts w:ascii="仿宋_GB2312" w:eastAsia="仿宋_GB2312" w:cs="Times New Roman"/>
                <w:b/>
                <w:sz w:val="32"/>
                <w:szCs w:val="32"/>
              </w:rPr>
            </w:pPr>
            <w:r>
              <w:rPr>
                <w:rFonts w:hint="eastAsia" w:ascii="仿宋_GB2312" w:eastAsia="仿宋_GB2312" w:cs="Times New Roman"/>
                <w:b/>
                <w:sz w:val="32"/>
                <w:szCs w:val="32"/>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5" w:type="pct"/>
            <w:vMerge w:val="continue"/>
            <w:shd w:val="clear" w:color="auto" w:fill="auto"/>
            <w:vAlign w:val="center"/>
          </w:tcPr>
          <w:p/>
        </w:tc>
        <w:tc>
          <w:tcPr>
            <w:tcW w:w="367" w:type="pct"/>
            <w:vMerge w:val="continue"/>
            <w:shd w:val="clear" w:color="auto" w:fill="auto"/>
            <w:vAlign w:val="center"/>
          </w:tcPr>
          <w:p/>
        </w:tc>
        <w:tc>
          <w:tcPr>
            <w:tcW w:w="303" w:type="pct"/>
            <w:vMerge w:val="continue"/>
            <w:shd w:val="clear" w:color="auto" w:fill="auto"/>
            <w:vAlign w:val="center"/>
          </w:tcPr>
          <w:p/>
        </w:tc>
        <w:tc>
          <w:tcPr>
            <w:tcW w:w="482" w:type="pct"/>
            <w:vMerge w:val="continue"/>
            <w:shd w:val="clear" w:color="auto" w:fill="auto"/>
            <w:vAlign w:val="center"/>
          </w:tcPr>
          <w:p/>
        </w:tc>
        <w:tc>
          <w:tcPr>
            <w:tcW w:w="303" w:type="pct"/>
            <w:vMerge w:val="continue"/>
            <w:shd w:val="clear" w:color="auto" w:fill="auto"/>
            <w:vAlign w:val="center"/>
          </w:tcPr>
          <w:p/>
        </w:tc>
        <w:tc>
          <w:tcPr>
            <w:tcW w:w="303" w:type="pct"/>
            <w:vMerge w:val="continue"/>
            <w:shd w:val="clear" w:color="auto" w:fill="auto"/>
            <w:vAlign w:val="center"/>
          </w:tcPr>
          <w:p/>
        </w:tc>
        <w:tc>
          <w:tcPr>
            <w:tcW w:w="310" w:type="pct"/>
            <w:vMerge w:val="continue"/>
            <w:shd w:val="clear" w:color="auto" w:fill="auto"/>
            <w:vAlign w:val="center"/>
          </w:tcPr>
          <w:p/>
        </w:tc>
        <w:tc>
          <w:tcPr>
            <w:tcW w:w="310" w:type="pct"/>
            <w:vMerge w:val="continue"/>
            <w:shd w:val="clear" w:color="auto" w:fill="auto"/>
            <w:vAlign w:val="center"/>
          </w:tcPr>
          <w:p/>
        </w:tc>
        <w:tc>
          <w:tcPr>
            <w:tcW w:w="309" w:type="pct"/>
            <w:shd w:val="clear" w:color="auto" w:fill="auto"/>
            <w:vAlign w:val="center"/>
          </w:tcPr>
          <w:p>
            <w:pPr>
              <w:spacing w:line="300" w:lineRule="exact"/>
              <w:jc w:val="center"/>
              <w:rPr>
                <w:rFonts w:ascii="仿宋_GB2312" w:eastAsia="仿宋_GB2312" w:cs="Times New Roman"/>
                <w:b/>
                <w:sz w:val="32"/>
                <w:szCs w:val="32"/>
              </w:rPr>
            </w:pPr>
            <w:r>
              <w:rPr>
                <w:rFonts w:hint="eastAsia" w:ascii="仿宋_GB2312" w:eastAsia="仿宋_GB2312" w:cs="Times New Roman"/>
                <w:b/>
                <w:sz w:val="32"/>
                <w:szCs w:val="32"/>
              </w:rPr>
              <w:t>合计</w:t>
            </w:r>
          </w:p>
        </w:tc>
        <w:tc>
          <w:tcPr>
            <w:tcW w:w="309" w:type="pct"/>
            <w:shd w:val="clear" w:color="auto" w:fill="auto"/>
            <w:vAlign w:val="center"/>
          </w:tcPr>
          <w:p>
            <w:pPr>
              <w:spacing w:line="300" w:lineRule="exact"/>
              <w:jc w:val="center"/>
              <w:rPr>
                <w:rFonts w:ascii="仿宋_GB2312" w:eastAsia="仿宋_GB2312" w:cs="Times New Roman"/>
                <w:b/>
                <w:sz w:val="32"/>
                <w:szCs w:val="32"/>
              </w:rPr>
            </w:pPr>
            <w:r>
              <w:rPr>
                <w:rFonts w:hint="eastAsia" w:ascii="仿宋_GB2312" w:eastAsia="仿宋_GB2312" w:cs="Times New Roman"/>
                <w:b/>
                <w:sz w:val="32"/>
                <w:szCs w:val="32"/>
              </w:rPr>
              <w:t>一般公共预算拨款</w:t>
            </w:r>
          </w:p>
        </w:tc>
        <w:tc>
          <w:tcPr>
            <w:tcW w:w="281" w:type="pct"/>
            <w:shd w:val="clear" w:color="auto" w:fill="auto"/>
            <w:vAlign w:val="center"/>
          </w:tcPr>
          <w:p>
            <w:pPr>
              <w:spacing w:line="300" w:lineRule="exact"/>
              <w:jc w:val="center"/>
              <w:rPr>
                <w:rFonts w:ascii="仿宋_GB2312" w:eastAsia="仿宋_GB2312" w:cs="Times New Roman"/>
                <w:b/>
                <w:sz w:val="32"/>
                <w:szCs w:val="32"/>
              </w:rPr>
            </w:pPr>
            <w:r>
              <w:rPr>
                <w:rFonts w:hint="eastAsia" w:ascii="仿宋_GB2312" w:eastAsia="仿宋_GB2312" w:cs="Times New Roman"/>
                <w:b/>
                <w:sz w:val="32"/>
                <w:szCs w:val="32"/>
              </w:rPr>
              <w:t>基金预算拨款</w:t>
            </w:r>
          </w:p>
        </w:tc>
        <w:tc>
          <w:tcPr>
            <w:tcW w:w="303" w:type="pct"/>
            <w:shd w:val="clear" w:color="auto" w:fill="auto"/>
            <w:vAlign w:val="center"/>
          </w:tcPr>
          <w:p>
            <w:pPr>
              <w:spacing w:line="300" w:lineRule="exact"/>
              <w:jc w:val="center"/>
              <w:rPr>
                <w:rFonts w:ascii="仿宋_GB2312" w:eastAsia="仿宋_GB2312" w:cs="Times New Roman"/>
                <w:b/>
                <w:sz w:val="32"/>
                <w:szCs w:val="32"/>
              </w:rPr>
            </w:pPr>
            <w:r>
              <w:rPr>
                <w:rFonts w:hint="eastAsia" w:ascii="仿宋_GB2312" w:eastAsia="仿宋_GB2312" w:cs="Times New Roman"/>
                <w:b/>
                <w:sz w:val="32"/>
                <w:szCs w:val="32"/>
              </w:rPr>
              <w:t>财政专户核拨</w:t>
            </w:r>
          </w:p>
        </w:tc>
        <w:tc>
          <w:tcPr>
            <w:tcW w:w="303" w:type="pct"/>
            <w:shd w:val="clear" w:color="auto" w:fill="auto"/>
            <w:vAlign w:val="center"/>
          </w:tcPr>
          <w:p>
            <w:pPr>
              <w:spacing w:line="300" w:lineRule="exact"/>
              <w:jc w:val="center"/>
              <w:rPr>
                <w:rFonts w:ascii="仿宋_GB2312" w:eastAsia="仿宋_GB2312" w:cs="Times New Roman"/>
                <w:b/>
                <w:sz w:val="32"/>
                <w:szCs w:val="32"/>
              </w:rPr>
            </w:pPr>
            <w:r>
              <w:rPr>
                <w:rFonts w:hint="eastAsia" w:ascii="仿宋_GB2312" w:eastAsia="仿宋_GB2312" w:cs="Times New Roman"/>
                <w:b/>
                <w:sz w:val="32"/>
                <w:szCs w:val="32"/>
              </w:rPr>
              <w:t>其他来源收入</w:t>
            </w:r>
          </w:p>
        </w:tc>
        <w:tc>
          <w:tcPr>
            <w:tcW w:w="286" w:type="pct"/>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7" w:type="pct"/>
            <w:shd w:val="clear" w:color="auto" w:fill="auto"/>
            <w:vAlign w:val="center"/>
          </w:tcPr>
          <w:p>
            <w:pPr>
              <w:spacing w:line="300" w:lineRule="exact"/>
              <w:jc w:val="center"/>
              <w:rPr>
                <w:rFonts w:ascii="仿宋_GB2312" w:eastAsia="仿宋_GB2312" w:cs="Times New Roman"/>
                <w:b/>
                <w:sz w:val="32"/>
                <w:szCs w:val="32"/>
              </w:rPr>
            </w:pPr>
            <w:r>
              <w:rPr>
                <w:rFonts w:hint="eastAsia" w:ascii="仿宋_GB2312" w:eastAsia="仿宋_GB2312" w:cs="Times New Roman"/>
                <w:b/>
                <w:sz w:val="32"/>
                <w:szCs w:val="32"/>
              </w:rPr>
              <w:t>合　计</w:t>
            </w:r>
          </w:p>
        </w:tc>
        <w:tc>
          <w:tcPr>
            <w:tcW w:w="367" w:type="pct"/>
            <w:shd w:val="clear" w:color="auto" w:fill="auto"/>
            <w:vAlign w:val="center"/>
          </w:tcPr>
          <w:p>
            <w:pPr>
              <w:spacing w:line="300" w:lineRule="exact"/>
              <w:jc w:val="right"/>
              <w:rPr>
                <w:rFonts w:ascii="仿宋_GB2312" w:eastAsia="仿宋_GB2312" w:cs="Times New Roman"/>
                <w:b/>
                <w:sz w:val="32"/>
                <w:szCs w:val="32"/>
              </w:rPr>
            </w:pPr>
          </w:p>
        </w:tc>
        <w:tc>
          <w:tcPr>
            <w:tcW w:w="302" w:type="pct"/>
            <w:shd w:val="clear" w:color="auto" w:fill="auto"/>
            <w:vAlign w:val="center"/>
          </w:tcPr>
          <w:p>
            <w:pPr>
              <w:spacing w:line="300" w:lineRule="exact"/>
              <w:jc w:val="left"/>
              <w:rPr>
                <w:rFonts w:ascii="仿宋_GB2312" w:eastAsia="仿宋_GB2312" w:cs="Times New Roman"/>
                <w:b/>
                <w:sz w:val="32"/>
                <w:szCs w:val="32"/>
              </w:rPr>
            </w:pPr>
          </w:p>
        </w:tc>
        <w:tc>
          <w:tcPr>
            <w:tcW w:w="481" w:type="pct"/>
            <w:shd w:val="clear" w:color="auto" w:fill="auto"/>
            <w:vAlign w:val="center"/>
          </w:tcPr>
          <w:p>
            <w:pPr>
              <w:spacing w:line="300" w:lineRule="exact"/>
              <w:jc w:val="left"/>
              <w:rPr>
                <w:rFonts w:ascii="仿宋_GB2312" w:eastAsia="仿宋_GB2312" w:cs="Times New Roman"/>
                <w:b/>
                <w:sz w:val="32"/>
                <w:szCs w:val="32"/>
              </w:rPr>
            </w:pPr>
          </w:p>
        </w:tc>
        <w:tc>
          <w:tcPr>
            <w:tcW w:w="302" w:type="pct"/>
            <w:shd w:val="clear" w:color="auto" w:fill="auto"/>
            <w:vAlign w:val="center"/>
          </w:tcPr>
          <w:p>
            <w:pPr>
              <w:spacing w:line="300" w:lineRule="exact"/>
              <w:jc w:val="left"/>
              <w:rPr>
                <w:rFonts w:ascii="仿宋_GB2312" w:eastAsia="仿宋_GB2312" w:cs="Times New Roman"/>
                <w:b/>
                <w:sz w:val="32"/>
                <w:szCs w:val="32"/>
              </w:rPr>
            </w:pPr>
          </w:p>
        </w:tc>
        <w:tc>
          <w:tcPr>
            <w:tcW w:w="302" w:type="pct"/>
            <w:shd w:val="clear" w:color="auto" w:fill="auto"/>
            <w:vAlign w:val="center"/>
          </w:tcPr>
          <w:p>
            <w:pPr>
              <w:spacing w:line="300" w:lineRule="exact"/>
              <w:jc w:val="right"/>
              <w:rPr>
                <w:rFonts w:ascii="仿宋_GB2312" w:eastAsia="仿宋_GB2312" w:cs="Times New Roman"/>
                <w:b/>
                <w:sz w:val="32"/>
                <w:szCs w:val="32"/>
              </w:rPr>
            </w:pPr>
          </w:p>
        </w:tc>
        <w:tc>
          <w:tcPr>
            <w:tcW w:w="310" w:type="pct"/>
            <w:shd w:val="clear" w:color="auto" w:fill="auto"/>
            <w:vAlign w:val="center"/>
          </w:tcPr>
          <w:p>
            <w:pPr>
              <w:spacing w:line="300" w:lineRule="exact"/>
              <w:jc w:val="right"/>
              <w:rPr>
                <w:rFonts w:ascii="仿宋_GB2312" w:eastAsia="仿宋_GB2312" w:cs="Times New Roman"/>
                <w:b/>
                <w:sz w:val="32"/>
                <w:szCs w:val="32"/>
              </w:rPr>
            </w:pPr>
          </w:p>
        </w:tc>
        <w:tc>
          <w:tcPr>
            <w:tcW w:w="309" w:type="pct"/>
            <w:shd w:val="clear" w:color="auto" w:fill="auto"/>
            <w:vAlign w:val="center"/>
          </w:tcPr>
          <w:p>
            <w:pPr>
              <w:spacing w:line="300" w:lineRule="exact"/>
              <w:jc w:val="right"/>
              <w:rPr>
                <w:rFonts w:ascii="仿宋_GB2312" w:eastAsia="仿宋_GB2312" w:cs="Times New Roman"/>
                <w:b/>
                <w:sz w:val="32"/>
                <w:szCs w:val="32"/>
              </w:rPr>
            </w:pPr>
          </w:p>
        </w:tc>
        <w:tc>
          <w:tcPr>
            <w:tcW w:w="309" w:type="pct"/>
            <w:shd w:val="clear" w:color="auto" w:fill="auto"/>
            <w:vAlign w:val="center"/>
          </w:tcPr>
          <w:p>
            <w:pPr>
              <w:spacing w:line="300" w:lineRule="exact"/>
              <w:jc w:val="right"/>
              <w:rPr>
                <w:rFonts w:ascii="仿宋_GB2312" w:eastAsia="仿宋_GB2312" w:cs="Times New Roman"/>
                <w:b/>
                <w:sz w:val="32"/>
                <w:szCs w:val="32"/>
              </w:rPr>
            </w:pPr>
          </w:p>
        </w:tc>
        <w:tc>
          <w:tcPr>
            <w:tcW w:w="309" w:type="pct"/>
            <w:shd w:val="clear" w:color="auto" w:fill="auto"/>
            <w:vAlign w:val="center"/>
          </w:tcPr>
          <w:p>
            <w:pPr>
              <w:spacing w:line="300" w:lineRule="exact"/>
              <w:jc w:val="right"/>
              <w:rPr>
                <w:rFonts w:ascii="仿宋_GB2312" w:eastAsia="仿宋_GB2312" w:cs="Times New Roman"/>
                <w:b/>
                <w:sz w:val="32"/>
                <w:szCs w:val="32"/>
              </w:rPr>
            </w:pPr>
          </w:p>
        </w:tc>
        <w:tc>
          <w:tcPr>
            <w:tcW w:w="281" w:type="pct"/>
            <w:shd w:val="clear" w:color="auto" w:fill="auto"/>
            <w:vAlign w:val="center"/>
          </w:tcPr>
          <w:p>
            <w:pPr>
              <w:spacing w:line="300" w:lineRule="exact"/>
              <w:jc w:val="right"/>
              <w:rPr>
                <w:rFonts w:ascii="仿宋_GB2312" w:eastAsia="仿宋_GB2312" w:cs="Times New Roman"/>
                <w:b/>
                <w:sz w:val="32"/>
                <w:szCs w:val="32"/>
              </w:rPr>
            </w:pPr>
          </w:p>
        </w:tc>
        <w:tc>
          <w:tcPr>
            <w:tcW w:w="303" w:type="pct"/>
            <w:shd w:val="clear" w:color="auto" w:fill="auto"/>
            <w:vAlign w:val="center"/>
          </w:tcPr>
          <w:p>
            <w:pPr>
              <w:spacing w:line="300" w:lineRule="exact"/>
              <w:jc w:val="right"/>
              <w:rPr>
                <w:rFonts w:ascii="仿宋_GB2312" w:eastAsia="仿宋_GB2312" w:cs="Times New Roman"/>
                <w:b/>
                <w:sz w:val="32"/>
                <w:szCs w:val="32"/>
              </w:rPr>
            </w:pPr>
          </w:p>
        </w:tc>
        <w:tc>
          <w:tcPr>
            <w:tcW w:w="303" w:type="pct"/>
            <w:shd w:val="clear" w:color="auto" w:fill="auto"/>
            <w:vAlign w:val="center"/>
          </w:tcPr>
          <w:p>
            <w:pPr>
              <w:spacing w:line="300" w:lineRule="exact"/>
              <w:jc w:val="right"/>
              <w:rPr>
                <w:rFonts w:ascii="仿宋_GB2312" w:eastAsia="仿宋_GB2312" w:cs="Times New Roman"/>
                <w:b/>
                <w:sz w:val="32"/>
                <w:szCs w:val="32"/>
              </w:rPr>
            </w:pPr>
          </w:p>
        </w:tc>
        <w:tc>
          <w:tcPr>
            <w:tcW w:w="285" w:type="pct"/>
            <w:shd w:val="clear" w:color="auto" w:fill="auto"/>
            <w:vAlign w:val="center"/>
          </w:tcPr>
          <w:p>
            <w:pPr>
              <w:spacing w:line="300" w:lineRule="exact"/>
              <w:jc w:val="right"/>
              <w:rPr>
                <w:rFonts w:ascii="仿宋_GB2312" w:eastAsia="仿宋_GB2312" w:cs="Times New Roman"/>
                <w:b/>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7" w:type="pct"/>
            <w:shd w:val="clear" w:color="auto" w:fill="auto"/>
            <w:vAlign w:val="center"/>
          </w:tcPr>
          <w:p>
            <w:pPr>
              <w:spacing w:line="300" w:lineRule="exact"/>
              <w:jc w:val="center"/>
              <w:rPr>
                <w:rFonts w:ascii="仿宋_GB2312" w:eastAsia="仿宋_GB2312" w:cs="Times New Roman"/>
                <w:b/>
                <w:sz w:val="32"/>
                <w:szCs w:val="32"/>
              </w:rPr>
            </w:pPr>
          </w:p>
        </w:tc>
        <w:tc>
          <w:tcPr>
            <w:tcW w:w="367" w:type="pct"/>
            <w:shd w:val="clear" w:color="auto" w:fill="auto"/>
            <w:vAlign w:val="center"/>
          </w:tcPr>
          <w:p>
            <w:pPr>
              <w:spacing w:line="300" w:lineRule="exact"/>
              <w:jc w:val="right"/>
              <w:rPr>
                <w:rFonts w:ascii="仿宋_GB2312" w:eastAsia="仿宋_GB2312" w:cs="Times New Roman"/>
                <w:b/>
                <w:sz w:val="32"/>
                <w:szCs w:val="32"/>
              </w:rPr>
            </w:pPr>
          </w:p>
        </w:tc>
        <w:tc>
          <w:tcPr>
            <w:tcW w:w="302" w:type="pct"/>
            <w:shd w:val="clear" w:color="auto" w:fill="auto"/>
            <w:vAlign w:val="center"/>
          </w:tcPr>
          <w:p>
            <w:pPr>
              <w:spacing w:line="300" w:lineRule="exact"/>
              <w:jc w:val="left"/>
              <w:rPr>
                <w:rFonts w:ascii="仿宋_GB2312" w:eastAsia="仿宋_GB2312" w:cs="Times New Roman"/>
                <w:b/>
                <w:sz w:val="32"/>
                <w:szCs w:val="32"/>
              </w:rPr>
            </w:pPr>
          </w:p>
        </w:tc>
        <w:tc>
          <w:tcPr>
            <w:tcW w:w="481" w:type="pct"/>
            <w:shd w:val="clear" w:color="auto" w:fill="auto"/>
            <w:vAlign w:val="center"/>
          </w:tcPr>
          <w:p>
            <w:pPr>
              <w:spacing w:line="300" w:lineRule="exact"/>
              <w:jc w:val="left"/>
              <w:rPr>
                <w:rFonts w:ascii="仿宋_GB2312" w:eastAsia="仿宋_GB2312" w:cs="Times New Roman"/>
                <w:b/>
                <w:sz w:val="32"/>
                <w:szCs w:val="32"/>
              </w:rPr>
            </w:pPr>
          </w:p>
        </w:tc>
        <w:tc>
          <w:tcPr>
            <w:tcW w:w="302" w:type="pct"/>
            <w:shd w:val="clear" w:color="auto" w:fill="auto"/>
            <w:vAlign w:val="center"/>
          </w:tcPr>
          <w:p>
            <w:pPr>
              <w:spacing w:line="300" w:lineRule="exact"/>
              <w:jc w:val="left"/>
              <w:rPr>
                <w:rFonts w:ascii="仿宋_GB2312" w:eastAsia="仿宋_GB2312" w:cs="Times New Roman"/>
                <w:b/>
                <w:sz w:val="32"/>
                <w:szCs w:val="32"/>
              </w:rPr>
            </w:pPr>
          </w:p>
        </w:tc>
        <w:tc>
          <w:tcPr>
            <w:tcW w:w="302" w:type="pct"/>
            <w:shd w:val="clear" w:color="auto" w:fill="auto"/>
            <w:vAlign w:val="center"/>
          </w:tcPr>
          <w:p>
            <w:pPr>
              <w:spacing w:line="300" w:lineRule="exact"/>
              <w:jc w:val="right"/>
              <w:rPr>
                <w:rFonts w:ascii="仿宋_GB2312" w:eastAsia="仿宋_GB2312" w:cs="Times New Roman"/>
                <w:b/>
                <w:sz w:val="32"/>
                <w:szCs w:val="32"/>
              </w:rPr>
            </w:pPr>
          </w:p>
        </w:tc>
        <w:tc>
          <w:tcPr>
            <w:tcW w:w="310" w:type="pct"/>
            <w:shd w:val="clear" w:color="auto" w:fill="auto"/>
            <w:vAlign w:val="center"/>
          </w:tcPr>
          <w:p>
            <w:pPr>
              <w:spacing w:line="300" w:lineRule="exact"/>
              <w:jc w:val="right"/>
              <w:rPr>
                <w:rFonts w:ascii="仿宋_GB2312" w:eastAsia="仿宋_GB2312" w:cs="Times New Roman"/>
                <w:b/>
                <w:sz w:val="32"/>
                <w:szCs w:val="32"/>
              </w:rPr>
            </w:pPr>
          </w:p>
        </w:tc>
        <w:tc>
          <w:tcPr>
            <w:tcW w:w="309" w:type="pct"/>
            <w:shd w:val="clear" w:color="auto" w:fill="auto"/>
            <w:vAlign w:val="center"/>
          </w:tcPr>
          <w:p>
            <w:pPr>
              <w:spacing w:line="300" w:lineRule="exact"/>
              <w:jc w:val="right"/>
              <w:rPr>
                <w:rFonts w:ascii="仿宋_GB2312" w:eastAsia="仿宋_GB2312" w:cs="Times New Roman"/>
                <w:b/>
                <w:sz w:val="32"/>
                <w:szCs w:val="32"/>
              </w:rPr>
            </w:pPr>
          </w:p>
        </w:tc>
        <w:tc>
          <w:tcPr>
            <w:tcW w:w="309" w:type="pct"/>
            <w:shd w:val="clear" w:color="auto" w:fill="auto"/>
            <w:vAlign w:val="center"/>
          </w:tcPr>
          <w:p>
            <w:pPr>
              <w:spacing w:line="300" w:lineRule="exact"/>
              <w:jc w:val="right"/>
              <w:rPr>
                <w:rFonts w:ascii="仿宋_GB2312" w:eastAsia="仿宋_GB2312" w:cs="Times New Roman"/>
                <w:b/>
                <w:sz w:val="32"/>
                <w:szCs w:val="32"/>
              </w:rPr>
            </w:pPr>
          </w:p>
        </w:tc>
        <w:tc>
          <w:tcPr>
            <w:tcW w:w="309" w:type="pct"/>
            <w:shd w:val="clear" w:color="auto" w:fill="auto"/>
            <w:vAlign w:val="center"/>
          </w:tcPr>
          <w:p>
            <w:pPr>
              <w:spacing w:line="300" w:lineRule="exact"/>
              <w:jc w:val="right"/>
              <w:rPr>
                <w:rFonts w:ascii="仿宋_GB2312" w:eastAsia="仿宋_GB2312" w:cs="Times New Roman"/>
                <w:b/>
                <w:sz w:val="32"/>
                <w:szCs w:val="32"/>
              </w:rPr>
            </w:pPr>
          </w:p>
        </w:tc>
        <w:tc>
          <w:tcPr>
            <w:tcW w:w="281" w:type="pct"/>
            <w:shd w:val="clear" w:color="auto" w:fill="auto"/>
            <w:vAlign w:val="center"/>
          </w:tcPr>
          <w:p>
            <w:pPr>
              <w:spacing w:line="300" w:lineRule="exact"/>
              <w:jc w:val="right"/>
              <w:rPr>
                <w:rFonts w:ascii="仿宋_GB2312" w:eastAsia="仿宋_GB2312" w:cs="Times New Roman"/>
                <w:b/>
                <w:sz w:val="32"/>
                <w:szCs w:val="32"/>
              </w:rPr>
            </w:pPr>
          </w:p>
        </w:tc>
        <w:tc>
          <w:tcPr>
            <w:tcW w:w="303" w:type="pct"/>
            <w:shd w:val="clear" w:color="auto" w:fill="auto"/>
            <w:vAlign w:val="center"/>
          </w:tcPr>
          <w:p>
            <w:pPr>
              <w:spacing w:line="300" w:lineRule="exact"/>
              <w:jc w:val="right"/>
              <w:rPr>
                <w:rFonts w:ascii="仿宋_GB2312" w:eastAsia="仿宋_GB2312" w:cs="Times New Roman"/>
                <w:b/>
                <w:sz w:val="32"/>
                <w:szCs w:val="32"/>
              </w:rPr>
            </w:pPr>
          </w:p>
        </w:tc>
        <w:tc>
          <w:tcPr>
            <w:tcW w:w="303" w:type="pct"/>
            <w:shd w:val="clear" w:color="auto" w:fill="auto"/>
            <w:vAlign w:val="center"/>
          </w:tcPr>
          <w:p>
            <w:pPr>
              <w:spacing w:line="300" w:lineRule="exact"/>
              <w:jc w:val="right"/>
              <w:rPr>
                <w:rFonts w:ascii="仿宋_GB2312" w:eastAsia="仿宋_GB2312" w:cs="Times New Roman"/>
                <w:b/>
                <w:sz w:val="32"/>
                <w:szCs w:val="32"/>
              </w:rPr>
            </w:pPr>
          </w:p>
        </w:tc>
        <w:tc>
          <w:tcPr>
            <w:tcW w:w="285" w:type="pct"/>
            <w:shd w:val="clear" w:color="auto" w:fill="auto"/>
            <w:vAlign w:val="center"/>
          </w:tcPr>
          <w:p>
            <w:pPr>
              <w:spacing w:line="300" w:lineRule="exact"/>
              <w:jc w:val="right"/>
              <w:rPr>
                <w:rFonts w:ascii="仿宋_GB2312" w:eastAsia="仿宋_GB2312" w:cs="Times New Roman"/>
                <w:b/>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7" w:type="pct"/>
            <w:shd w:val="clear" w:color="auto" w:fill="auto"/>
            <w:vAlign w:val="center"/>
          </w:tcPr>
          <w:p>
            <w:pPr>
              <w:spacing w:line="300" w:lineRule="exact"/>
              <w:jc w:val="left"/>
              <w:rPr>
                <w:rFonts w:ascii="仿宋_GB2312" w:eastAsia="仿宋_GB2312" w:cs="Times New Roman"/>
                <w:sz w:val="32"/>
                <w:szCs w:val="32"/>
              </w:rPr>
            </w:pPr>
          </w:p>
        </w:tc>
        <w:tc>
          <w:tcPr>
            <w:tcW w:w="367" w:type="pct"/>
            <w:shd w:val="clear" w:color="auto" w:fill="auto"/>
            <w:vAlign w:val="center"/>
          </w:tcPr>
          <w:p>
            <w:pPr>
              <w:spacing w:line="300" w:lineRule="exact"/>
              <w:jc w:val="right"/>
              <w:rPr>
                <w:rFonts w:ascii="仿宋_GB2312" w:eastAsia="仿宋_GB2312" w:cs="Times New Roman"/>
                <w:sz w:val="32"/>
                <w:szCs w:val="32"/>
              </w:rPr>
            </w:pPr>
          </w:p>
        </w:tc>
        <w:tc>
          <w:tcPr>
            <w:tcW w:w="302" w:type="pct"/>
            <w:shd w:val="clear" w:color="auto" w:fill="auto"/>
            <w:vAlign w:val="center"/>
          </w:tcPr>
          <w:p>
            <w:pPr>
              <w:spacing w:line="300" w:lineRule="exact"/>
              <w:jc w:val="left"/>
              <w:rPr>
                <w:rFonts w:ascii="仿宋_GB2312" w:eastAsia="仿宋_GB2312" w:cs="Times New Roman"/>
                <w:sz w:val="32"/>
                <w:szCs w:val="32"/>
              </w:rPr>
            </w:pPr>
          </w:p>
        </w:tc>
        <w:tc>
          <w:tcPr>
            <w:tcW w:w="481" w:type="pct"/>
            <w:shd w:val="clear" w:color="auto" w:fill="auto"/>
            <w:vAlign w:val="center"/>
          </w:tcPr>
          <w:p>
            <w:pPr>
              <w:spacing w:line="300" w:lineRule="exact"/>
              <w:jc w:val="left"/>
              <w:rPr>
                <w:rFonts w:ascii="仿宋_GB2312" w:eastAsia="仿宋_GB2312" w:cs="Times New Roman"/>
                <w:sz w:val="32"/>
                <w:szCs w:val="32"/>
              </w:rPr>
            </w:pPr>
          </w:p>
        </w:tc>
        <w:tc>
          <w:tcPr>
            <w:tcW w:w="302" w:type="pct"/>
            <w:shd w:val="clear" w:color="auto" w:fill="auto"/>
            <w:vAlign w:val="center"/>
          </w:tcPr>
          <w:p>
            <w:pPr>
              <w:spacing w:line="300" w:lineRule="exact"/>
              <w:jc w:val="left"/>
              <w:rPr>
                <w:rFonts w:ascii="仿宋_GB2312" w:eastAsia="仿宋_GB2312" w:cs="Times New Roman"/>
                <w:sz w:val="32"/>
                <w:szCs w:val="32"/>
              </w:rPr>
            </w:pPr>
          </w:p>
        </w:tc>
        <w:tc>
          <w:tcPr>
            <w:tcW w:w="302" w:type="pct"/>
            <w:shd w:val="clear" w:color="auto" w:fill="auto"/>
            <w:vAlign w:val="center"/>
          </w:tcPr>
          <w:p>
            <w:pPr>
              <w:spacing w:line="300" w:lineRule="exact"/>
              <w:jc w:val="right"/>
              <w:rPr>
                <w:rFonts w:ascii="仿宋_GB2312" w:eastAsia="仿宋_GB2312" w:cs="Times New Roman"/>
                <w:sz w:val="32"/>
                <w:szCs w:val="32"/>
              </w:rPr>
            </w:pPr>
          </w:p>
        </w:tc>
        <w:tc>
          <w:tcPr>
            <w:tcW w:w="310" w:type="pct"/>
            <w:shd w:val="clear" w:color="auto" w:fill="auto"/>
            <w:vAlign w:val="center"/>
          </w:tcPr>
          <w:p>
            <w:pPr>
              <w:spacing w:line="300" w:lineRule="exact"/>
              <w:jc w:val="right"/>
              <w:rPr>
                <w:rFonts w:ascii="仿宋_GB2312" w:eastAsia="仿宋_GB2312" w:cs="Times New Roman"/>
                <w:sz w:val="32"/>
                <w:szCs w:val="32"/>
              </w:rPr>
            </w:pPr>
          </w:p>
        </w:tc>
        <w:tc>
          <w:tcPr>
            <w:tcW w:w="309" w:type="pct"/>
            <w:shd w:val="clear" w:color="auto" w:fill="auto"/>
            <w:vAlign w:val="center"/>
          </w:tcPr>
          <w:p>
            <w:pPr>
              <w:spacing w:line="300" w:lineRule="exact"/>
              <w:jc w:val="right"/>
              <w:rPr>
                <w:rFonts w:ascii="仿宋_GB2312" w:eastAsia="仿宋_GB2312" w:cs="Times New Roman"/>
                <w:sz w:val="32"/>
                <w:szCs w:val="32"/>
              </w:rPr>
            </w:pPr>
          </w:p>
        </w:tc>
        <w:tc>
          <w:tcPr>
            <w:tcW w:w="309" w:type="pct"/>
            <w:shd w:val="clear" w:color="auto" w:fill="auto"/>
            <w:vAlign w:val="center"/>
          </w:tcPr>
          <w:p>
            <w:pPr>
              <w:spacing w:line="300" w:lineRule="exact"/>
              <w:jc w:val="right"/>
              <w:rPr>
                <w:rFonts w:ascii="仿宋_GB2312" w:eastAsia="仿宋_GB2312" w:cs="Times New Roman"/>
                <w:sz w:val="32"/>
                <w:szCs w:val="32"/>
              </w:rPr>
            </w:pPr>
          </w:p>
        </w:tc>
        <w:tc>
          <w:tcPr>
            <w:tcW w:w="309" w:type="pct"/>
            <w:shd w:val="clear" w:color="auto" w:fill="auto"/>
            <w:vAlign w:val="center"/>
          </w:tcPr>
          <w:p>
            <w:pPr>
              <w:spacing w:line="300" w:lineRule="exact"/>
              <w:jc w:val="right"/>
              <w:rPr>
                <w:rFonts w:ascii="仿宋_GB2312" w:eastAsia="仿宋_GB2312" w:cs="Times New Roman"/>
                <w:sz w:val="32"/>
                <w:szCs w:val="32"/>
              </w:rPr>
            </w:pPr>
          </w:p>
        </w:tc>
        <w:tc>
          <w:tcPr>
            <w:tcW w:w="281" w:type="pct"/>
            <w:shd w:val="clear" w:color="auto" w:fill="auto"/>
            <w:vAlign w:val="center"/>
          </w:tcPr>
          <w:p>
            <w:pPr>
              <w:spacing w:line="300" w:lineRule="exact"/>
              <w:jc w:val="right"/>
              <w:rPr>
                <w:rFonts w:ascii="仿宋_GB2312" w:eastAsia="仿宋_GB2312" w:cs="Times New Roman"/>
                <w:sz w:val="32"/>
                <w:szCs w:val="32"/>
              </w:rPr>
            </w:pPr>
          </w:p>
        </w:tc>
        <w:tc>
          <w:tcPr>
            <w:tcW w:w="303" w:type="pct"/>
            <w:shd w:val="clear" w:color="auto" w:fill="auto"/>
            <w:vAlign w:val="center"/>
          </w:tcPr>
          <w:p>
            <w:pPr>
              <w:spacing w:line="300" w:lineRule="exact"/>
              <w:jc w:val="right"/>
              <w:rPr>
                <w:rFonts w:ascii="仿宋_GB2312" w:eastAsia="仿宋_GB2312" w:cs="Times New Roman"/>
                <w:sz w:val="32"/>
                <w:szCs w:val="32"/>
              </w:rPr>
            </w:pPr>
          </w:p>
        </w:tc>
        <w:tc>
          <w:tcPr>
            <w:tcW w:w="303" w:type="pct"/>
            <w:shd w:val="clear" w:color="auto" w:fill="auto"/>
            <w:vAlign w:val="center"/>
          </w:tcPr>
          <w:p>
            <w:pPr>
              <w:spacing w:line="300" w:lineRule="exact"/>
              <w:jc w:val="right"/>
              <w:rPr>
                <w:rFonts w:ascii="仿宋_GB2312" w:eastAsia="仿宋_GB2312" w:cs="Times New Roman"/>
                <w:sz w:val="32"/>
                <w:szCs w:val="32"/>
              </w:rPr>
            </w:pPr>
          </w:p>
        </w:tc>
        <w:tc>
          <w:tcPr>
            <w:tcW w:w="285" w:type="pct"/>
            <w:shd w:val="clear" w:color="auto" w:fill="auto"/>
            <w:vAlign w:val="center"/>
          </w:tcPr>
          <w:p>
            <w:pPr>
              <w:spacing w:line="300" w:lineRule="exact"/>
              <w:jc w:val="right"/>
              <w:rPr>
                <w:rFonts w:ascii="仿宋_GB2312" w:eastAsia="仿宋_GB2312" w:cs="Times New Roman"/>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7" w:type="pct"/>
            <w:shd w:val="clear" w:color="auto" w:fill="auto"/>
            <w:vAlign w:val="center"/>
          </w:tcPr>
          <w:p>
            <w:pPr>
              <w:spacing w:line="300" w:lineRule="exact"/>
              <w:jc w:val="left"/>
              <w:rPr>
                <w:rFonts w:ascii="仿宋_GB2312" w:eastAsia="仿宋_GB2312" w:cs="Times New Roman"/>
                <w:sz w:val="32"/>
                <w:szCs w:val="32"/>
              </w:rPr>
            </w:pPr>
          </w:p>
        </w:tc>
        <w:tc>
          <w:tcPr>
            <w:tcW w:w="367" w:type="pct"/>
            <w:shd w:val="clear" w:color="auto" w:fill="auto"/>
            <w:vAlign w:val="center"/>
          </w:tcPr>
          <w:p>
            <w:pPr>
              <w:spacing w:line="300" w:lineRule="exact"/>
              <w:jc w:val="right"/>
              <w:rPr>
                <w:rFonts w:ascii="仿宋_GB2312" w:eastAsia="仿宋_GB2312" w:cs="Times New Roman"/>
                <w:sz w:val="32"/>
                <w:szCs w:val="32"/>
              </w:rPr>
            </w:pPr>
          </w:p>
        </w:tc>
        <w:tc>
          <w:tcPr>
            <w:tcW w:w="302" w:type="pct"/>
            <w:shd w:val="clear" w:color="auto" w:fill="auto"/>
            <w:vAlign w:val="center"/>
          </w:tcPr>
          <w:p>
            <w:pPr>
              <w:spacing w:line="300" w:lineRule="exact"/>
              <w:jc w:val="left"/>
              <w:rPr>
                <w:rFonts w:ascii="仿宋_GB2312" w:eastAsia="仿宋_GB2312" w:cs="Times New Roman"/>
                <w:sz w:val="32"/>
                <w:szCs w:val="32"/>
              </w:rPr>
            </w:pPr>
          </w:p>
        </w:tc>
        <w:tc>
          <w:tcPr>
            <w:tcW w:w="481" w:type="pct"/>
            <w:shd w:val="clear" w:color="auto" w:fill="auto"/>
            <w:vAlign w:val="center"/>
          </w:tcPr>
          <w:p>
            <w:pPr>
              <w:spacing w:line="300" w:lineRule="exact"/>
              <w:jc w:val="left"/>
              <w:rPr>
                <w:rFonts w:ascii="仿宋_GB2312" w:eastAsia="仿宋_GB2312" w:cs="Times New Roman"/>
                <w:sz w:val="32"/>
                <w:szCs w:val="32"/>
              </w:rPr>
            </w:pPr>
          </w:p>
        </w:tc>
        <w:tc>
          <w:tcPr>
            <w:tcW w:w="302" w:type="pct"/>
            <w:shd w:val="clear" w:color="auto" w:fill="auto"/>
            <w:vAlign w:val="center"/>
          </w:tcPr>
          <w:p>
            <w:pPr>
              <w:spacing w:line="300" w:lineRule="exact"/>
              <w:jc w:val="left"/>
              <w:rPr>
                <w:rFonts w:ascii="仿宋_GB2312" w:eastAsia="仿宋_GB2312" w:cs="Times New Roman"/>
                <w:sz w:val="32"/>
                <w:szCs w:val="32"/>
              </w:rPr>
            </w:pPr>
          </w:p>
        </w:tc>
        <w:tc>
          <w:tcPr>
            <w:tcW w:w="302" w:type="pct"/>
            <w:shd w:val="clear" w:color="auto" w:fill="auto"/>
            <w:vAlign w:val="center"/>
          </w:tcPr>
          <w:p>
            <w:pPr>
              <w:spacing w:line="300" w:lineRule="exact"/>
              <w:jc w:val="right"/>
              <w:rPr>
                <w:rFonts w:ascii="仿宋_GB2312" w:eastAsia="仿宋_GB2312" w:cs="Times New Roman"/>
                <w:sz w:val="32"/>
                <w:szCs w:val="32"/>
              </w:rPr>
            </w:pPr>
          </w:p>
        </w:tc>
        <w:tc>
          <w:tcPr>
            <w:tcW w:w="310" w:type="pct"/>
            <w:shd w:val="clear" w:color="auto" w:fill="auto"/>
            <w:vAlign w:val="center"/>
          </w:tcPr>
          <w:p>
            <w:pPr>
              <w:spacing w:line="300" w:lineRule="exact"/>
              <w:jc w:val="right"/>
              <w:rPr>
                <w:rFonts w:ascii="仿宋_GB2312" w:eastAsia="仿宋_GB2312" w:cs="Times New Roman"/>
                <w:sz w:val="32"/>
                <w:szCs w:val="32"/>
              </w:rPr>
            </w:pPr>
          </w:p>
        </w:tc>
        <w:tc>
          <w:tcPr>
            <w:tcW w:w="309" w:type="pct"/>
            <w:shd w:val="clear" w:color="auto" w:fill="auto"/>
            <w:vAlign w:val="center"/>
          </w:tcPr>
          <w:p>
            <w:pPr>
              <w:spacing w:line="300" w:lineRule="exact"/>
              <w:jc w:val="right"/>
              <w:rPr>
                <w:rFonts w:ascii="仿宋_GB2312" w:eastAsia="仿宋_GB2312" w:cs="Times New Roman"/>
                <w:sz w:val="32"/>
                <w:szCs w:val="32"/>
              </w:rPr>
            </w:pPr>
          </w:p>
        </w:tc>
        <w:tc>
          <w:tcPr>
            <w:tcW w:w="309" w:type="pct"/>
            <w:shd w:val="clear" w:color="auto" w:fill="auto"/>
            <w:vAlign w:val="center"/>
          </w:tcPr>
          <w:p>
            <w:pPr>
              <w:spacing w:line="300" w:lineRule="exact"/>
              <w:jc w:val="right"/>
              <w:rPr>
                <w:rFonts w:ascii="仿宋_GB2312" w:eastAsia="仿宋_GB2312" w:cs="Times New Roman"/>
                <w:sz w:val="32"/>
                <w:szCs w:val="32"/>
              </w:rPr>
            </w:pPr>
          </w:p>
        </w:tc>
        <w:tc>
          <w:tcPr>
            <w:tcW w:w="309" w:type="pct"/>
            <w:shd w:val="clear" w:color="auto" w:fill="auto"/>
            <w:vAlign w:val="center"/>
          </w:tcPr>
          <w:p>
            <w:pPr>
              <w:spacing w:line="300" w:lineRule="exact"/>
              <w:jc w:val="right"/>
              <w:rPr>
                <w:rFonts w:ascii="仿宋_GB2312" w:eastAsia="仿宋_GB2312" w:cs="Times New Roman"/>
                <w:sz w:val="32"/>
                <w:szCs w:val="32"/>
              </w:rPr>
            </w:pPr>
          </w:p>
        </w:tc>
        <w:tc>
          <w:tcPr>
            <w:tcW w:w="281" w:type="pct"/>
            <w:shd w:val="clear" w:color="auto" w:fill="auto"/>
            <w:vAlign w:val="center"/>
          </w:tcPr>
          <w:p>
            <w:pPr>
              <w:spacing w:line="300" w:lineRule="exact"/>
              <w:jc w:val="right"/>
              <w:rPr>
                <w:rFonts w:ascii="仿宋_GB2312" w:eastAsia="仿宋_GB2312" w:cs="Times New Roman"/>
                <w:sz w:val="32"/>
                <w:szCs w:val="32"/>
              </w:rPr>
            </w:pPr>
          </w:p>
        </w:tc>
        <w:tc>
          <w:tcPr>
            <w:tcW w:w="303" w:type="pct"/>
            <w:shd w:val="clear" w:color="auto" w:fill="auto"/>
            <w:vAlign w:val="center"/>
          </w:tcPr>
          <w:p>
            <w:pPr>
              <w:spacing w:line="300" w:lineRule="exact"/>
              <w:jc w:val="right"/>
              <w:rPr>
                <w:rFonts w:ascii="仿宋_GB2312" w:eastAsia="仿宋_GB2312" w:cs="Times New Roman"/>
                <w:sz w:val="32"/>
                <w:szCs w:val="32"/>
              </w:rPr>
            </w:pPr>
          </w:p>
        </w:tc>
        <w:tc>
          <w:tcPr>
            <w:tcW w:w="303" w:type="pct"/>
            <w:shd w:val="clear" w:color="auto" w:fill="auto"/>
            <w:vAlign w:val="center"/>
          </w:tcPr>
          <w:p>
            <w:pPr>
              <w:spacing w:line="300" w:lineRule="exact"/>
              <w:jc w:val="right"/>
              <w:rPr>
                <w:rFonts w:ascii="仿宋_GB2312" w:eastAsia="仿宋_GB2312" w:cs="Times New Roman"/>
                <w:sz w:val="32"/>
                <w:szCs w:val="32"/>
              </w:rPr>
            </w:pPr>
          </w:p>
        </w:tc>
        <w:tc>
          <w:tcPr>
            <w:tcW w:w="285" w:type="pct"/>
            <w:shd w:val="clear" w:color="auto" w:fill="auto"/>
            <w:vAlign w:val="center"/>
          </w:tcPr>
          <w:p>
            <w:pPr>
              <w:spacing w:line="300" w:lineRule="exact"/>
              <w:jc w:val="right"/>
              <w:rPr>
                <w:rFonts w:ascii="仿宋_GB2312" w:eastAsia="仿宋_GB2312" w:cs="Times New Roman"/>
                <w:sz w:val="32"/>
                <w:szCs w:val="32"/>
              </w:rPr>
            </w:pPr>
          </w:p>
        </w:tc>
      </w:tr>
    </w:tbl>
    <w:p>
      <w:pPr>
        <w:widowControl/>
        <w:spacing w:line="360" w:lineRule="atLeast"/>
        <w:ind w:firstLine="160" w:firstLineChars="50"/>
        <w:jc w:val="left"/>
        <w:rPr>
          <w:rFonts w:ascii="仿宋_GB2312" w:eastAsia="仿宋_GB2312" w:cs="宋体"/>
          <w:color w:val="000000"/>
          <w:kern w:val="0"/>
          <w:sz w:val="32"/>
          <w:szCs w:val="32"/>
        </w:rPr>
      </w:pPr>
    </w:p>
    <w:p>
      <w:pPr>
        <w:widowControl/>
        <w:jc w:val="left"/>
        <w:rPr>
          <w:rFonts w:ascii="仿宋_GB2312" w:eastAsia="仿宋_GB2312" w:cs="宋体"/>
          <w:color w:val="000000"/>
          <w:kern w:val="0"/>
          <w:sz w:val="32"/>
          <w:szCs w:val="32"/>
        </w:rPr>
      </w:pPr>
      <w:r>
        <w:rPr>
          <w:rFonts w:hint="eastAsia" w:ascii="黑体" w:eastAsia="黑体" w:cs="宋体"/>
          <w:color w:val="000000"/>
          <w:kern w:val="0"/>
          <w:sz w:val="32"/>
          <w:szCs w:val="32"/>
        </w:rPr>
        <w:t>七、国有资产信息</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我部门（含所属单位）上年末固定资产金额为439.04万元，本年度无拟购置固定资产。</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详见下表。</w:t>
      </w:r>
    </w:p>
    <w:p>
      <w:pPr>
        <w:widowControl/>
        <w:jc w:val="left"/>
        <w:rPr>
          <w:rFonts w:ascii="仿宋_GB2312" w:eastAsia="仿宋_GB2312" w:cs="宋体"/>
          <w:kern w:val="0"/>
          <w:sz w:val="32"/>
          <w:szCs w:val="32"/>
        </w:rPr>
      </w:pPr>
    </w:p>
    <w:tbl>
      <w:tblPr>
        <w:tblStyle w:val="4"/>
        <w:tblW w:w="9795" w:type="dxa"/>
        <w:tblCellSpacing w:w="0" w:type="dxa"/>
        <w:tblInd w:w="1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870"/>
        <w:gridCol w:w="2580"/>
        <w:gridCol w:w="343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tblCellSpacing w:w="0" w:type="dxa"/>
        </w:trPr>
        <w:tc>
          <w:tcPr>
            <w:tcW w:w="9795" w:type="dxa"/>
            <w:gridSpan w:val="3"/>
            <w:tcBorders>
              <w:top w:val="outset" w:color="auto" w:sz="6" w:space="0"/>
              <w:left w:val="outset" w:color="auto" w:sz="6" w:space="0"/>
              <w:bottom w:val="outset" w:color="auto" w:sz="6" w:space="0"/>
              <w:right w:val="outset" w:color="auto" w:sz="6" w:space="0"/>
            </w:tcBorders>
            <w:noWrap/>
            <w:vAlign w:val="center"/>
          </w:tcPr>
          <w:p>
            <w:pPr>
              <w:widowControl/>
              <w:spacing w:line="360" w:lineRule="atLeast"/>
              <w:jc w:val="center"/>
              <w:rPr>
                <w:rFonts w:ascii="仿宋_GB2312" w:eastAsia="仿宋_GB2312" w:cs="宋体"/>
                <w:color w:val="000000"/>
                <w:kern w:val="0"/>
                <w:sz w:val="32"/>
                <w:szCs w:val="32"/>
              </w:rPr>
            </w:pPr>
            <w:r>
              <w:rPr>
                <w:rFonts w:hint="eastAsia" w:ascii="仿宋_GB2312" w:eastAsia="仿宋_GB2312" w:cs="宋体"/>
                <w:b/>
                <w:bCs/>
                <w:color w:val="000000"/>
                <w:kern w:val="0"/>
                <w:sz w:val="32"/>
                <w:szCs w:val="32"/>
              </w:rPr>
              <w:t>廊坊市广阳区预算部门固定资产占用情况表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6390" w:type="dxa"/>
            <w:gridSpan w:val="2"/>
            <w:tcBorders>
              <w:top w:val="outset" w:color="auto" w:sz="6" w:space="0"/>
              <w:left w:val="outset" w:color="auto" w:sz="6" w:space="0"/>
              <w:bottom w:val="outset" w:color="auto" w:sz="6" w:space="0"/>
              <w:right w:val="outset" w:color="auto" w:sz="6" w:space="0"/>
            </w:tcBorders>
            <w:noWrap/>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编制部门：</w:t>
            </w:r>
            <w:r>
              <w:rPr>
                <w:rFonts w:hint="eastAsia" w:ascii="仿宋_GB2312" w:eastAsia="仿宋_GB2312" w:cs="宋体"/>
                <w:b/>
                <w:bCs/>
                <w:color w:val="000000"/>
                <w:kern w:val="0"/>
                <w:sz w:val="32"/>
                <w:szCs w:val="32"/>
              </w:rPr>
              <w:t>廊坊市广阳区人民法院</w:t>
            </w:r>
          </w:p>
        </w:tc>
        <w:tc>
          <w:tcPr>
            <w:tcW w:w="3405" w:type="dxa"/>
            <w:tcBorders>
              <w:top w:val="outset" w:color="auto" w:sz="6" w:space="0"/>
              <w:left w:val="outset" w:color="auto" w:sz="6" w:space="0"/>
              <w:bottom w:val="outset" w:color="auto" w:sz="6" w:space="0"/>
              <w:right w:val="outset" w:color="auto" w:sz="6" w:space="0"/>
            </w:tcBorders>
            <w:noWrap/>
            <w:vAlign w:val="center"/>
          </w:tcPr>
          <w:p>
            <w:pPr>
              <w:widowControl/>
              <w:spacing w:line="360" w:lineRule="atLeast"/>
              <w:jc w:val="left"/>
              <w:rPr>
                <w:rFonts w:ascii="宋体" w:hAnsi="宋体" w:eastAsia="仿宋_GB2312" w:cs="宋体"/>
                <w:color w:val="000000"/>
                <w:kern w:val="0"/>
                <w:sz w:val="32"/>
                <w:szCs w:val="32"/>
              </w:rPr>
            </w:pPr>
            <w:r>
              <w:rPr>
                <w:rFonts w:hint="eastAsia" w:ascii="仿宋_GB2312" w:eastAsia="仿宋_GB2312" w:cs="宋体"/>
                <w:color w:val="000000"/>
                <w:kern w:val="0"/>
                <w:sz w:val="32"/>
                <w:szCs w:val="32"/>
              </w:rPr>
              <w:t>截止时间：2016年12月31日</w:t>
            </w:r>
            <w:r>
              <w:rPr>
                <w:rFonts w:hint="eastAsia" w:ascii="宋体" w:hAnsi="宋体" w:eastAsia="仿宋_GB2312" w:cs="宋体"/>
                <w:color w:val="000000"/>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trPr>
        <w:tc>
          <w:tcPr>
            <w:tcW w:w="3840" w:type="dxa"/>
            <w:tcBorders>
              <w:top w:val="outset" w:color="auto" w:sz="6" w:space="0"/>
              <w:left w:val="outset" w:color="auto" w:sz="6" w:space="0"/>
              <w:bottom w:val="outset" w:color="auto" w:sz="6" w:space="0"/>
              <w:right w:val="outset" w:color="auto" w:sz="6" w:space="0"/>
            </w:tcBorders>
            <w:noWrap/>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b/>
                <w:bCs/>
                <w:color w:val="000000"/>
                <w:kern w:val="0"/>
                <w:sz w:val="32"/>
                <w:szCs w:val="32"/>
              </w:rPr>
              <w:t>项</w:t>
            </w:r>
            <w:r>
              <w:rPr>
                <w:rFonts w:hint="eastAsia" w:ascii="宋体" w:hAnsi="宋体" w:eastAsia="仿宋_GB2312" w:cs="宋体"/>
                <w:b/>
                <w:bCs/>
                <w:color w:val="000000"/>
                <w:kern w:val="0"/>
                <w:sz w:val="32"/>
                <w:szCs w:val="32"/>
              </w:rPr>
              <w:t xml:space="preserve">   </w:t>
            </w:r>
            <w:r>
              <w:rPr>
                <w:rFonts w:hint="eastAsia" w:ascii="仿宋_GB2312" w:eastAsia="仿宋_GB2312" w:cs="宋体"/>
                <w:b/>
                <w:bCs/>
                <w:color w:val="000000"/>
                <w:kern w:val="0"/>
                <w:sz w:val="32"/>
                <w:szCs w:val="32"/>
              </w:rPr>
              <w:t>目</w:t>
            </w:r>
          </w:p>
        </w:tc>
        <w:tc>
          <w:tcPr>
            <w:tcW w:w="2550" w:type="dxa"/>
            <w:tcBorders>
              <w:top w:val="outset" w:color="auto" w:sz="6" w:space="0"/>
              <w:left w:val="outset" w:color="auto" w:sz="6" w:space="0"/>
              <w:bottom w:val="outset" w:color="auto" w:sz="6" w:space="0"/>
              <w:right w:val="outset" w:color="auto" w:sz="6" w:space="0"/>
            </w:tcBorders>
            <w:noWrap/>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b/>
                <w:bCs/>
                <w:color w:val="000000"/>
                <w:kern w:val="0"/>
                <w:sz w:val="32"/>
                <w:szCs w:val="32"/>
              </w:rPr>
              <w:t>数量</w:t>
            </w:r>
          </w:p>
        </w:tc>
        <w:tc>
          <w:tcPr>
            <w:tcW w:w="3405" w:type="dxa"/>
            <w:tcBorders>
              <w:top w:val="outset" w:color="auto" w:sz="6" w:space="0"/>
              <w:left w:val="outset" w:color="auto" w:sz="6" w:space="0"/>
              <w:bottom w:val="outset" w:color="auto" w:sz="6" w:space="0"/>
              <w:right w:val="outset" w:color="auto" w:sz="6" w:space="0"/>
            </w:tcBorders>
            <w:noWrap/>
            <w:vAlign w:val="center"/>
          </w:tcPr>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b/>
                <w:bCs/>
                <w:color w:val="000000"/>
                <w:kern w:val="0"/>
                <w:sz w:val="32"/>
                <w:szCs w:val="32"/>
              </w:rPr>
              <w:t>价值（金额单位：万元）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trPr>
        <w:tc>
          <w:tcPr>
            <w:tcW w:w="3840" w:type="dxa"/>
            <w:tcBorders>
              <w:top w:val="outset" w:color="auto" w:sz="6" w:space="0"/>
              <w:left w:val="outset" w:color="auto" w:sz="6" w:space="0"/>
              <w:bottom w:val="outset" w:color="auto" w:sz="6" w:space="0"/>
              <w:right w:val="outset" w:color="auto" w:sz="6" w:space="0"/>
            </w:tcBorders>
            <w:noWrap/>
            <w:vAlign w:val="center"/>
          </w:tcPr>
          <w:p>
            <w:pPr>
              <w:widowControl/>
              <w:spacing w:line="360" w:lineRule="atLeast"/>
              <w:jc w:val="center"/>
              <w:rPr>
                <w:rFonts w:ascii="仿宋_GB2312" w:eastAsia="仿宋_GB2312" w:cs="宋体"/>
                <w:color w:val="000000"/>
                <w:kern w:val="0"/>
                <w:sz w:val="32"/>
                <w:szCs w:val="32"/>
              </w:rPr>
            </w:pPr>
            <w:r>
              <w:rPr>
                <w:rFonts w:hint="eastAsia" w:ascii="仿宋_GB2312" w:eastAsia="仿宋_GB2312" w:cs="宋体"/>
                <w:color w:val="000000"/>
                <w:kern w:val="0"/>
                <w:sz w:val="32"/>
                <w:szCs w:val="32"/>
              </w:rPr>
              <w:t>资产总额</w:t>
            </w:r>
          </w:p>
        </w:tc>
        <w:tc>
          <w:tcPr>
            <w:tcW w:w="2550" w:type="dxa"/>
            <w:tcBorders>
              <w:top w:val="outset" w:color="auto" w:sz="6" w:space="0"/>
              <w:left w:val="outset" w:color="auto" w:sz="6" w:space="0"/>
              <w:bottom w:val="outset" w:color="auto" w:sz="6" w:space="0"/>
              <w:right w:val="outset" w:color="auto" w:sz="6" w:space="0"/>
            </w:tcBorders>
            <w:noWrap/>
            <w:vAlign w:val="center"/>
          </w:tcPr>
          <w:p>
            <w:pPr>
              <w:widowControl/>
              <w:spacing w:line="360" w:lineRule="atLeast"/>
              <w:jc w:val="center"/>
              <w:rPr>
                <w:rFonts w:ascii="仿宋_GB2312" w:eastAsia="仿宋_GB2312" w:cs="宋体"/>
                <w:color w:val="000000"/>
                <w:kern w:val="0"/>
                <w:sz w:val="32"/>
                <w:szCs w:val="32"/>
              </w:rPr>
            </w:pPr>
            <w:r>
              <w:rPr>
                <w:rFonts w:hint="eastAsia" w:ascii="仿宋_GB2312" w:eastAsia="仿宋_GB2312" w:cs="宋体"/>
                <w:color w:val="000000"/>
                <w:kern w:val="0"/>
                <w:sz w:val="32"/>
                <w:szCs w:val="32"/>
              </w:rPr>
              <w:t>——</w:t>
            </w:r>
          </w:p>
        </w:tc>
        <w:tc>
          <w:tcPr>
            <w:tcW w:w="3405" w:type="dxa"/>
            <w:tcBorders>
              <w:top w:val="outset" w:color="auto" w:sz="6" w:space="0"/>
              <w:left w:val="outset" w:color="auto" w:sz="6" w:space="0"/>
              <w:bottom w:val="outset" w:color="auto" w:sz="6" w:space="0"/>
              <w:right w:val="outset" w:color="auto" w:sz="6" w:space="0"/>
            </w:tcBorders>
            <w:noWrap/>
            <w:vAlign w:val="center"/>
          </w:tcPr>
          <w:p>
            <w:pPr>
              <w:widowControl/>
              <w:spacing w:line="360" w:lineRule="atLeast"/>
              <w:jc w:val="center"/>
              <w:rPr>
                <w:rFonts w:ascii="仿宋_GB2312" w:eastAsia="仿宋_GB2312" w:cs="宋体"/>
                <w:color w:val="000000"/>
                <w:kern w:val="0"/>
                <w:sz w:val="32"/>
                <w:szCs w:val="32"/>
              </w:rPr>
            </w:pPr>
            <w:r>
              <w:rPr>
                <w:rFonts w:hint="eastAsia" w:ascii="仿宋_GB2312" w:eastAsia="仿宋_GB2312" w:cs="宋体"/>
                <w:color w:val="000000"/>
                <w:kern w:val="0"/>
                <w:sz w:val="32"/>
                <w:szCs w:val="32"/>
              </w:rPr>
              <w:t>439.04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trPr>
        <w:tc>
          <w:tcPr>
            <w:tcW w:w="3840" w:type="dxa"/>
            <w:tcBorders>
              <w:top w:val="outset" w:color="auto" w:sz="6" w:space="0"/>
              <w:left w:val="outset" w:color="auto" w:sz="6" w:space="0"/>
              <w:bottom w:val="outset" w:color="auto" w:sz="6" w:space="0"/>
              <w:right w:val="outset" w:color="auto" w:sz="6" w:space="0"/>
            </w:tcBorders>
            <w:noWrap/>
            <w:vAlign w:val="center"/>
          </w:tcPr>
          <w:p>
            <w:pPr>
              <w:widowControl/>
              <w:spacing w:line="360" w:lineRule="atLeast"/>
              <w:jc w:val="center"/>
              <w:rPr>
                <w:rFonts w:ascii="仿宋_GB2312" w:eastAsia="仿宋_GB2312" w:cs="宋体"/>
                <w:color w:val="000000"/>
                <w:kern w:val="0"/>
                <w:sz w:val="32"/>
                <w:szCs w:val="32"/>
              </w:rPr>
            </w:pPr>
            <w:r>
              <w:rPr>
                <w:rFonts w:hint="eastAsia" w:ascii="仿宋_GB2312" w:eastAsia="仿宋_GB2312" w:cs="宋体"/>
                <w:color w:val="000000"/>
                <w:kern w:val="0"/>
                <w:sz w:val="32"/>
                <w:szCs w:val="32"/>
              </w:rPr>
              <w:t>1、房屋（平方米）</w:t>
            </w:r>
          </w:p>
        </w:tc>
        <w:tc>
          <w:tcPr>
            <w:tcW w:w="2550" w:type="dxa"/>
            <w:tcBorders>
              <w:top w:val="outset" w:color="auto" w:sz="6" w:space="0"/>
              <w:left w:val="outset" w:color="auto" w:sz="6" w:space="0"/>
              <w:bottom w:val="outset" w:color="auto" w:sz="6" w:space="0"/>
              <w:right w:val="outset" w:color="auto" w:sz="6" w:space="0"/>
            </w:tcBorders>
            <w:noWrap/>
            <w:vAlign w:val="center"/>
          </w:tcPr>
          <w:p>
            <w:pPr>
              <w:widowControl/>
              <w:spacing w:line="360" w:lineRule="atLeast"/>
              <w:jc w:val="center"/>
              <w:rPr>
                <w:rFonts w:ascii="仿宋_GB2312" w:eastAsia="仿宋_GB2312" w:cs="宋体"/>
                <w:color w:val="000000"/>
                <w:kern w:val="0"/>
                <w:sz w:val="32"/>
                <w:szCs w:val="32"/>
              </w:rPr>
            </w:pPr>
            <w:r>
              <w:rPr>
                <w:rFonts w:hint="eastAsia" w:ascii="仿宋_GB2312" w:eastAsia="仿宋_GB2312" w:cs="宋体"/>
                <w:color w:val="000000"/>
                <w:kern w:val="0"/>
                <w:sz w:val="32"/>
                <w:szCs w:val="32"/>
              </w:rPr>
              <w:t>1680.38</w:t>
            </w:r>
          </w:p>
        </w:tc>
        <w:tc>
          <w:tcPr>
            <w:tcW w:w="3405" w:type="dxa"/>
            <w:tcBorders>
              <w:top w:val="outset" w:color="auto" w:sz="6" w:space="0"/>
              <w:left w:val="outset" w:color="auto" w:sz="6" w:space="0"/>
              <w:bottom w:val="outset" w:color="auto" w:sz="6" w:space="0"/>
              <w:right w:val="outset" w:color="auto" w:sz="6" w:space="0"/>
            </w:tcBorders>
            <w:noWrap/>
            <w:vAlign w:val="center"/>
          </w:tcPr>
          <w:p>
            <w:pPr>
              <w:widowControl/>
              <w:spacing w:line="360" w:lineRule="atLeast"/>
              <w:jc w:val="center"/>
              <w:rPr>
                <w:rFonts w:ascii="仿宋_GB2312" w:eastAsia="仿宋_GB2312" w:cs="宋体"/>
                <w:color w:val="000000"/>
                <w:kern w:val="0"/>
                <w:sz w:val="32"/>
                <w:szCs w:val="32"/>
              </w:rPr>
            </w:pPr>
            <w:r>
              <w:rPr>
                <w:rFonts w:hint="eastAsia" w:ascii="仿宋_GB2312" w:eastAsia="仿宋_GB2312" w:cs="宋体"/>
                <w:color w:val="000000"/>
                <w:kern w:val="0"/>
                <w:sz w:val="32"/>
                <w:szCs w:val="32"/>
              </w:rPr>
              <w:t>215.98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trPr>
        <w:tc>
          <w:tcPr>
            <w:tcW w:w="3840" w:type="dxa"/>
            <w:tcBorders>
              <w:top w:val="outset" w:color="auto" w:sz="6" w:space="0"/>
              <w:left w:val="outset" w:color="auto" w:sz="6" w:space="0"/>
              <w:bottom w:val="outset" w:color="auto" w:sz="6" w:space="0"/>
              <w:right w:val="outset" w:color="auto" w:sz="6" w:space="0"/>
            </w:tcBorders>
            <w:noWrap/>
            <w:vAlign w:val="center"/>
          </w:tcPr>
          <w:p>
            <w:pPr>
              <w:widowControl/>
              <w:spacing w:line="360" w:lineRule="atLeast"/>
              <w:jc w:val="center"/>
              <w:rPr>
                <w:rFonts w:ascii="仿宋_GB2312" w:eastAsia="仿宋_GB2312" w:cs="宋体"/>
                <w:color w:val="000000"/>
                <w:kern w:val="0"/>
                <w:sz w:val="32"/>
                <w:szCs w:val="32"/>
              </w:rPr>
            </w:pP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其中：办公用房（平方米）</w:t>
            </w:r>
          </w:p>
        </w:tc>
        <w:tc>
          <w:tcPr>
            <w:tcW w:w="2550" w:type="dxa"/>
            <w:tcBorders>
              <w:top w:val="outset" w:color="auto" w:sz="6" w:space="0"/>
              <w:left w:val="outset" w:color="auto" w:sz="6" w:space="0"/>
              <w:bottom w:val="outset" w:color="auto" w:sz="6" w:space="0"/>
              <w:right w:val="outset" w:color="auto" w:sz="6" w:space="0"/>
            </w:tcBorders>
            <w:noWrap/>
            <w:vAlign w:val="center"/>
          </w:tcPr>
          <w:p>
            <w:pPr>
              <w:widowControl/>
              <w:spacing w:line="360" w:lineRule="atLeast"/>
              <w:jc w:val="center"/>
              <w:rPr>
                <w:rFonts w:ascii="仿宋_GB2312" w:eastAsia="仿宋_GB2312" w:cs="宋体"/>
                <w:color w:val="000000"/>
                <w:kern w:val="0"/>
                <w:sz w:val="32"/>
                <w:szCs w:val="32"/>
              </w:rPr>
            </w:pPr>
            <w:r>
              <w:rPr>
                <w:rFonts w:hint="eastAsia" w:ascii="仿宋_GB2312" w:eastAsia="仿宋_GB2312" w:cs="宋体"/>
                <w:color w:val="000000"/>
                <w:kern w:val="0"/>
                <w:sz w:val="32"/>
                <w:szCs w:val="32"/>
              </w:rPr>
              <w:t>1680.38</w:t>
            </w:r>
          </w:p>
        </w:tc>
        <w:tc>
          <w:tcPr>
            <w:tcW w:w="3405" w:type="dxa"/>
            <w:tcBorders>
              <w:top w:val="outset" w:color="auto" w:sz="6" w:space="0"/>
              <w:left w:val="outset" w:color="auto" w:sz="6" w:space="0"/>
              <w:bottom w:val="outset" w:color="auto" w:sz="6" w:space="0"/>
              <w:right w:val="outset" w:color="auto" w:sz="6" w:space="0"/>
            </w:tcBorders>
            <w:noWrap/>
            <w:vAlign w:val="center"/>
          </w:tcPr>
          <w:p>
            <w:pPr>
              <w:widowControl/>
              <w:spacing w:line="360" w:lineRule="atLeast"/>
              <w:jc w:val="center"/>
              <w:rPr>
                <w:rFonts w:ascii="仿宋_GB2312" w:eastAsia="仿宋_GB2312" w:cs="宋体"/>
                <w:color w:val="000000"/>
                <w:kern w:val="0"/>
                <w:sz w:val="32"/>
                <w:szCs w:val="32"/>
              </w:rPr>
            </w:pPr>
            <w:r>
              <w:rPr>
                <w:rFonts w:hint="eastAsia" w:ascii="仿宋_GB2312" w:eastAsia="仿宋_GB2312" w:cs="宋体"/>
                <w:color w:val="000000"/>
                <w:kern w:val="0"/>
                <w:sz w:val="32"/>
                <w:szCs w:val="32"/>
              </w:rPr>
              <w:t>215.98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trPr>
        <w:tc>
          <w:tcPr>
            <w:tcW w:w="3840" w:type="dxa"/>
            <w:tcBorders>
              <w:top w:val="outset" w:color="auto" w:sz="6" w:space="0"/>
              <w:left w:val="outset" w:color="auto" w:sz="6" w:space="0"/>
              <w:bottom w:val="outset" w:color="auto" w:sz="6" w:space="0"/>
              <w:right w:val="outset" w:color="auto" w:sz="6" w:space="0"/>
            </w:tcBorders>
            <w:noWrap/>
            <w:vAlign w:val="center"/>
          </w:tcPr>
          <w:p>
            <w:pPr>
              <w:widowControl/>
              <w:spacing w:line="360" w:lineRule="atLeast"/>
              <w:jc w:val="center"/>
              <w:rPr>
                <w:rFonts w:ascii="仿宋_GB2312" w:eastAsia="仿宋_GB2312" w:cs="宋体"/>
                <w:color w:val="000000"/>
                <w:kern w:val="0"/>
                <w:sz w:val="32"/>
                <w:szCs w:val="32"/>
              </w:rPr>
            </w:pPr>
            <w:r>
              <w:rPr>
                <w:rFonts w:hint="eastAsia" w:ascii="仿宋_GB2312" w:eastAsia="仿宋_GB2312" w:cs="宋体"/>
                <w:color w:val="000000"/>
                <w:kern w:val="0"/>
                <w:sz w:val="32"/>
                <w:szCs w:val="32"/>
              </w:rPr>
              <w:t>2、车辆（台、辆）</w:t>
            </w:r>
          </w:p>
        </w:tc>
        <w:tc>
          <w:tcPr>
            <w:tcW w:w="2550" w:type="dxa"/>
            <w:tcBorders>
              <w:top w:val="outset" w:color="auto" w:sz="6" w:space="0"/>
              <w:left w:val="outset" w:color="auto" w:sz="6" w:space="0"/>
              <w:bottom w:val="outset" w:color="auto" w:sz="6" w:space="0"/>
              <w:right w:val="outset" w:color="auto" w:sz="6" w:space="0"/>
            </w:tcBorders>
            <w:noWrap/>
            <w:vAlign w:val="center"/>
          </w:tcPr>
          <w:p>
            <w:pPr>
              <w:widowControl/>
              <w:spacing w:line="360" w:lineRule="atLeast"/>
              <w:jc w:val="center"/>
              <w:rPr>
                <w:rFonts w:ascii="仿宋_GB2312" w:eastAsia="仿宋_GB2312" w:cs="宋体"/>
                <w:color w:val="000000"/>
                <w:kern w:val="0"/>
                <w:sz w:val="32"/>
                <w:szCs w:val="32"/>
              </w:rPr>
            </w:pPr>
            <w:r>
              <w:rPr>
                <w:rFonts w:hint="eastAsia" w:ascii="仿宋_GB2312" w:eastAsia="仿宋_GB2312" w:cs="宋体"/>
                <w:color w:val="000000"/>
                <w:kern w:val="0"/>
                <w:sz w:val="32"/>
                <w:szCs w:val="32"/>
              </w:rPr>
              <w:t>12</w:t>
            </w:r>
          </w:p>
        </w:tc>
        <w:tc>
          <w:tcPr>
            <w:tcW w:w="3405" w:type="dxa"/>
            <w:tcBorders>
              <w:top w:val="outset" w:color="auto" w:sz="6" w:space="0"/>
              <w:left w:val="outset" w:color="auto" w:sz="6" w:space="0"/>
              <w:bottom w:val="outset" w:color="auto" w:sz="6" w:space="0"/>
              <w:right w:val="outset" w:color="auto" w:sz="6" w:space="0"/>
            </w:tcBorders>
            <w:noWrap/>
            <w:vAlign w:val="center"/>
          </w:tcPr>
          <w:p>
            <w:pPr>
              <w:widowControl/>
              <w:spacing w:line="360" w:lineRule="atLeast"/>
              <w:jc w:val="center"/>
              <w:rPr>
                <w:rFonts w:ascii="仿宋_GB2312" w:eastAsia="仿宋_GB2312" w:cs="宋体"/>
                <w:color w:val="000000"/>
                <w:kern w:val="0"/>
                <w:sz w:val="32"/>
                <w:szCs w:val="32"/>
              </w:rPr>
            </w:pPr>
            <w:r>
              <w:rPr>
                <w:rFonts w:hint="eastAsia" w:ascii="仿宋_GB2312" w:eastAsia="仿宋_GB2312" w:cs="宋体"/>
                <w:color w:val="000000"/>
                <w:kern w:val="0"/>
                <w:sz w:val="32"/>
                <w:szCs w:val="32"/>
              </w:rPr>
              <w:t>173.22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trPr>
        <w:tc>
          <w:tcPr>
            <w:tcW w:w="3840"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center"/>
              <w:rPr>
                <w:rFonts w:ascii="仿宋_GB2312" w:eastAsia="仿宋_GB2312" w:cs="宋体"/>
                <w:color w:val="000000"/>
                <w:kern w:val="0"/>
                <w:sz w:val="32"/>
                <w:szCs w:val="32"/>
              </w:rPr>
            </w:pPr>
            <w:r>
              <w:rPr>
                <w:rFonts w:hint="eastAsia" w:ascii="仿宋_GB2312" w:eastAsia="仿宋_GB2312" w:cs="宋体"/>
                <w:color w:val="000000"/>
                <w:kern w:val="0"/>
                <w:sz w:val="32"/>
                <w:szCs w:val="32"/>
              </w:rPr>
              <w:t>3、单价在50万元以上的设备</w:t>
            </w:r>
          </w:p>
        </w:tc>
        <w:tc>
          <w:tcPr>
            <w:tcW w:w="2550" w:type="dxa"/>
            <w:tcBorders>
              <w:top w:val="outset" w:color="auto" w:sz="6" w:space="0"/>
              <w:left w:val="outset" w:color="auto" w:sz="6" w:space="0"/>
              <w:bottom w:val="outset" w:color="auto" w:sz="6" w:space="0"/>
              <w:right w:val="outset" w:color="auto" w:sz="6" w:space="0"/>
            </w:tcBorders>
            <w:noWrap/>
            <w:vAlign w:val="center"/>
          </w:tcPr>
          <w:p>
            <w:pPr>
              <w:widowControl/>
              <w:spacing w:line="360" w:lineRule="atLeast"/>
              <w:jc w:val="center"/>
              <w:rPr>
                <w:rFonts w:ascii="仿宋_GB2312" w:eastAsia="仿宋_GB2312" w:cs="宋体"/>
                <w:color w:val="000000"/>
                <w:kern w:val="0"/>
                <w:sz w:val="32"/>
                <w:szCs w:val="32"/>
              </w:rPr>
            </w:pPr>
            <w:r>
              <w:rPr>
                <w:rFonts w:hint="eastAsia" w:ascii="仿宋_GB2312" w:eastAsia="仿宋_GB2312" w:cs="宋体"/>
                <w:color w:val="000000"/>
                <w:kern w:val="0"/>
                <w:sz w:val="32"/>
                <w:szCs w:val="32"/>
              </w:rPr>
              <w:t>0</w:t>
            </w:r>
          </w:p>
        </w:tc>
        <w:tc>
          <w:tcPr>
            <w:tcW w:w="3405" w:type="dxa"/>
            <w:tcBorders>
              <w:top w:val="outset" w:color="auto" w:sz="6" w:space="0"/>
              <w:left w:val="outset" w:color="auto" w:sz="6" w:space="0"/>
              <w:bottom w:val="outset" w:color="auto" w:sz="6" w:space="0"/>
              <w:right w:val="outset" w:color="auto" w:sz="6" w:space="0"/>
            </w:tcBorders>
            <w:noWrap/>
            <w:vAlign w:val="center"/>
          </w:tcPr>
          <w:p>
            <w:pPr>
              <w:widowControl/>
              <w:spacing w:line="360" w:lineRule="atLeast"/>
              <w:jc w:val="center"/>
              <w:rPr>
                <w:rFonts w:ascii="仿宋_GB2312" w:eastAsia="仿宋_GB2312" w:cs="宋体"/>
                <w:color w:val="000000"/>
                <w:kern w:val="0"/>
                <w:sz w:val="32"/>
                <w:szCs w:val="32"/>
              </w:rPr>
            </w:pP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trPr>
        <w:tc>
          <w:tcPr>
            <w:tcW w:w="3840" w:type="dxa"/>
            <w:tcBorders>
              <w:top w:val="outset" w:color="auto" w:sz="6" w:space="0"/>
              <w:left w:val="outset" w:color="auto" w:sz="6" w:space="0"/>
              <w:bottom w:val="outset" w:color="auto" w:sz="6" w:space="0"/>
              <w:right w:val="outset" w:color="auto" w:sz="6" w:space="0"/>
            </w:tcBorders>
            <w:noWrap/>
            <w:vAlign w:val="center"/>
          </w:tcPr>
          <w:p>
            <w:pPr>
              <w:widowControl/>
              <w:spacing w:line="360" w:lineRule="atLeast"/>
              <w:jc w:val="center"/>
              <w:rPr>
                <w:rFonts w:ascii="仿宋_GB2312" w:eastAsia="仿宋_GB2312" w:cs="宋体"/>
                <w:color w:val="000000"/>
                <w:kern w:val="0"/>
                <w:sz w:val="32"/>
                <w:szCs w:val="32"/>
              </w:rPr>
            </w:pPr>
            <w:r>
              <w:rPr>
                <w:rFonts w:hint="eastAsia" w:ascii="仿宋_GB2312" w:eastAsia="仿宋_GB2312" w:cs="宋体"/>
                <w:color w:val="000000"/>
                <w:kern w:val="0"/>
                <w:sz w:val="32"/>
                <w:szCs w:val="32"/>
              </w:rPr>
              <w:t>4、其他固定资产</w:t>
            </w:r>
          </w:p>
        </w:tc>
        <w:tc>
          <w:tcPr>
            <w:tcW w:w="2550" w:type="dxa"/>
            <w:tcBorders>
              <w:top w:val="outset" w:color="auto" w:sz="6" w:space="0"/>
              <w:left w:val="outset" w:color="auto" w:sz="6" w:space="0"/>
              <w:bottom w:val="outset" w:color="auto" w:sz="6" w:space="0"/>
              <w:right w:val="outset" w:color="auto" w:sz="6" w:space="0"/>
            </w:tcBorders>
            <w:noWrap/>
            <w:vAlign w:val="center"/>
          </w:tcPr>
          <w:p>
            <w:pPr>
              <w:widowControl/>
              <w:spacing w:line="360" w:lineRule="atLeast"/>
              <w:jc w:val="center"/>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 </w:t>
            </w:r>
          </w:p>
        </w:tc>
        <w:tc>
          <w:tcPr>
            <w:tcW w:w="3405" w:type="dxa"/>
            <w:tcBorders>
              <w:top w:val="outset" w:color="auto" w:sz="6" w:space="0"/>
              <w:left w:val="outset" w:color="auto" w:sz="6" w:space="0"/>
              <w:bottom w:val="outset" w:color="auto" w:sz="6" w:space="0"/>
              <w:right w:val="outset" w:color="auto" w:sz="6" w:space="0"/>
            </w:tcBorders>
            <w:noWrap/>
            <w:vAlign w:val="center"/>
          </w:tcPr>
          <w:p>
            <w:pPr>
              <w:widowControl/>
              <w:spacing w:line="360" w:lineRule="atLeast"/>
              <w:jc w:val="center"/>
              <w:rPr>
                <w:rFonts w:ascii="仿宋_GB2312" w:eastAsia="仿宋_GB2312" w:cs="宋体"/>
                <w:color w:val="000000"/>
                <w:kern w:val="0"/>
                <w:sz w:val="32"/>
                <w:szCs w:val="32"/>
              </w:rPr>
            </w:pPr>
            <w:r>
              <w:rPr>
                <w:rFonts w:hint="eastAsia" w:ascii="仿宋_GB2312" w:eastAsia="仿宋_GB2312" w:cs="宋体"/>
                <w:color w:val="000000"/>
                <w:kern w:val="0"/>
                <w:sz w:val="32"/>
                <w:szCs w:val="32"/>
              </w:rPr>
              <w:t>49.84</w:t>
            </w:r>
          </w:p>
        </w:tc>
      </w:tr>
    </w:tbl>
    <w:p>
      <w:pPr>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 </w:t>
      </w:r>
      <w:r>
        <w:rPr>
          <w:rFonts w:ascii="宋体" w:hAnsi="宋体" w:eastAsia="仿宋_GB2312" w:cs="宋体"/>
          <w:color w:val="000000"/>
          <w:kern w:val="0"/>
          <w:sz w:val="32"/>
          <w:szCs w:val="32"/>
        </w:rPr>
        <w:t xml:space="preserve">  </w:t>
      </w:r>
    </w:p>
    <w:p>
      <w:pPr>
        <w:rPr>
          <w:rFonts w:ascii="宋体" w:hAnsi="宋体" w:eastAsia="仿宋_GB2312" w:cs="宋体"/>
          <w:color w:val="000000"/>
          <w:kern w:val="0"/>
          <w:sz w:val="32"/>
          <w:szCs w:val="32"/>
        </w:rPr>
      </w:pPr>
    </w:p>
    <w:p>
      <w:pPr>
        <w:pStyle w:val="7"/>
        <w:rPr>
          <w:rFonts w:ascii="仿宋_GB2312" w:eastAsia="仿宋_GB2312"/>
          <w:b/>
          <w:bCs/>
          <w:sz w:val="32"/>
          <w:szCs w:val="32"/>
        </w:rPr>
      </w:pPr>
      <w:r>
        <w:rPr>
          <w:rFonts w:hint="eastAsia" w:ascii="黑体" w:eastAsia="黑体" w:cs="宋体"/>
          <w:sz w:val="32"/>
          <w:szCs w:val="32"/>
        </w:rPr>
        <w:t>八、名词解释</w:t>
      </w:r>
      <w:r>
        <w:rPr>
          <w:rFonts w:hint="eastAsia" w:ascii="黑体" w:eastAsia="黑体" w:cs="宋体"/>
          <w:sz w:val="32"/>
          <w:szCs w:val="32"/>
        </w:rPr>
        <w:br w:type="textWrapping"/>
      </w:r>
      <w:r>
        <w:rPr>
          <w:rFonts w:hint="eastAsia"/>
          <w:b/>
          <w:bCs/>
          <w:sz w:val="32"/>
          <w:szCs w:val="32"/>
        </w:rPr>
        <w:t xml:space="preserve"> </w:t>
      </w:r>
      <w:r>
        <w:rPr>
          <w:b/>
          <w:bCs/>
          <w:sz w:val="32"/>
          <w:szCs w:val="32"/>
        </w:rPr>
        <w:t xml:space="preserve">   </w:t>
      </w:r>
      <w:r>
        <w:rPr>
          <w:rFonts w:hint="eastAsia" w:ascii="仿宋_GB2312" w:eastAsia="仿宋_GB2312"/>
          <w:b/>
          <w:bCs/>
          <w:sz w:val="32"/>
          <w:szCs w:val="32"/>
        </w:rPr>
        <w:t>1</w:t>
      </w:r>
      <w:r>
        <w:rPr>
          <w:rFonts w:hint="eastAsia" w:ascii="仿宋_GB2312" w:eastAsia="仿宋_GB2312" w:cs="FZFangSong-Z02"/>
          <w:sz w:val="32"/>
          <w:szCs w:val="32"/>
        </w:rPr>
        <w:t>、一般公共预算拨款收入：指市级财政当年拨付的资金。</w:t>
      </w:r>
    </w:p>
    <w:p>
      <w:pPr>
        <w:pStyle w:val="7"/>
        <w:rPr>
          <w:rFonts w:ascii="仿宋_GB2312" w:eastAsia="仿宋_GB2312" w:cs="FZFangSong-Z02"/>
          <w:sz w:val="32"/>
          <w:szCs w:val="32"/>
        </w:rPr>
      </w:pPr>
      <w:r>
        <w:rPr>
          <w:rFonts w:hint="eastAsia" w:ascii="仿宋_GB2312" w:eastAsia="仿宋_GB2312"/>
          <w:b/>
          <w:bCs/>
          <w:sz w:val="32"/>
          <w:szCs w:val="32"/>
        </w:rPr>
        <w:t xml:space="preserve">    2</w:t>
      </w:r>
      <w:r>
        <w:rPr>
          <w:rFonts w:hint="eastAsia" w:ascii="仿宋_GB2312" w:eastAsia="仿宋_GB2312" w:cs="FZFangSong-Z02"/>
          <w:sz w:val="32"/>
          <w:szCs w:val="32"/>
        </w:rPr>
        <w:t>、事业收入：指事业单位开展专业业务活动及辅助活动所取得的收入。</w:t>
      </w:r>
    </w:p>
    <w:p>
      <w:pPr>
        <w:pStyle w:val="7"/>
        <w:rPr>
          <w:rFonts w:ascii="仿宋_GB2312" w:eastAsia="仿宋_GB2312" w:cs="FZFangSong-Z02"/>
          <w:sz w:val="32"/>
          <w:szCs w:val="32"/>
        </w:rPr>
      </w:pPr>
      <w:r>
        <w:rPr>
          <w:rFonts w:hint="eastAsia" w:ascii="仿宋_GB2312" w:eastAsia="仿宋_GB2312"/>
          <w:b/>
          <w:bCs/>
          <w:sz w:val="32"/>
          <w:szCs w:val="32"/>
        </w:rPr>
        <w:t xml:space="preserve">    3</w:t>
      </w:r>
      <w:r>
        <w:rPr>
          <w:rFonts w:hint="eastAsia" w:ascii="仿宋_GB2312" w:eastAsia="仿宋_GB2312" w:cs="FZFangSong-Z02"/>
          <w:sz w:val="32"/>
          <w:szCs w:val="32"/>
        </w:rPr>
        <w:t>、其他收入：指除上述</w:t>
      </w:r>
      <w:r>
        <w:rPr>
          <w:rFonts w:hint="eastAsia" w:ascii="仿宋_GB2312" w:eastAsia="仿宋_GB2312"/>
          <w:sz w:val="32"/>
          <w:szCs w:val="32"/>
        </w:rPr>
        <w:t>“</w:t>
      </w:r>
      <w:r>
        <w:rPr>
          <w:rFonts w:hint="eastAsia" w:ascii="仿宋_GB2312" w:eastAsia="仿宋_GB2312" w:cs="FZFangSong-Z02"/>
          <w:sz w:val="32"/>
          <w:szCs w:val="32"/>
        </w:rPr>
        <w:t>财政拨款收入</w:t>
      </w:r>
      <w:r>
        <w:rPr>
          <w:rFonts w:hint="eastAsia" w:ascii="仿宋_GB2312" w:eastAsia="仿宋_GB2312"/>
          <w:sz w:val="32"/>
          <w:szCs w:val="32"/>
        </w:rPr>
        <w:t>”</w:t>
      </w:r>
      <w:r>
        <w:rPr>
          <w:rFonts w:hint="eastAsia" w:ascii="仿宋_GB2312" w:eastAsia="仿宋_GB2312" w:cs="FZFangSong-Z02"/>
          <w:sz w:val="32"/>
          <w:szCs w:val="32"/>
        </w:rPr>
        <w:t>、</w:t>
      </w:r>
      <w:r>
        <w:rPr>
          <w:rFonts w:hint="eastAsia" w:ascii="仿宋_GB2312" w:eastAsia="仿宋_GB2312"/>
          <w:sz w:val="32"/>
          <w:szCs w:val="32"/>
        </w:rPr>
        <w:t>“</w:t>
      </w:r>
      <w:r>
        <w:rPr>
          <w:rFonts w:hint="eastAsia" w:ascii="仿宋_GB2312" w:eastAsia="仿宋_GB2312" w:cs="FZFangSong-Z02"/>
          <w:sz w:val="32"/>
          <w:szCs w:val="32"/>
        </w:rPr>
        <w:t>事业收入</w:t>
      </w:r>
      <w:r>
        <w:rPr>
          <w:rFonts w:hint="eastAsia" w:ascii="仿宋_GB2312" w:eastAsia="仿宋_GB2312"/>
          <w:sz w:val="32"/>
          <w:szCs w:val="32"/>
        </w:rPr>
        <w:t>”</w:t>
      </w:r>
      <w:r>
        <w:rPr>
          <w:rFonts w:hint="eastAsia" w:ascii="仿宋_GB2312" w:eastAsia="仿宋_GB2312" w:cs="FZFangSong-Z02"/>
          <w:sz w:val="32"/>
          <w:szCs w:val="32"/>
        </w:rPr>
        <w:t>等以外的收入。主要是按规定动用的租房收入、存款利息收入等。</w:t>
      </w:r>
    </w:p>
    <w:p>
      <w:pPr>
        <w:pStyle w:val="7"/>
        <w:rPr>
          <w:rFonts w:ascii="仿宋_GB2312" w:eastAsia="仿宋_GB2312" w:cs="FZFangSong-Z02"/>
          <w:sz w:val="32"/>
          <w:szCs w:val="32"/>
        </w:rPr>
      </w:pPr>
      <w:r>
        <w:rPr>
          <w:rFonts w:hint="eastAsia" w:ascii="仿宋_GB2312" w:eastAsia="仿宋_GB2312"/>
          <w:b/>
          <w:bCs/>
          <w:sz w:val="32"/>
          <w:szCs w:val="32"/>
        </w:rPr>
        <w:t xml:space="preserve">    4</w:t>
      </w:r>
      <w:r>
        <w:rPr>
          <w:rFonts w:hint="eastAsia" w:ascii="仿宋_GB2312" w:eastAsia="仿宋_GB2312" w:cs="FZFangSong-Z02"/>
          <w:sz w:val="32"/>
          <w:szCs w:val="32"/>
        </w:rPr>
        <w:t>、基本支出：</w:t>
      </w:r>
      <w:r>
        <w:rPr>
          <w:rFonts w:hint="eastAsia" w:ascii="仿宋_GB2312" w:eastAsia="仿宋_GB2312"/>
          <w:sz w:val="32"/>
          <w:szCs w:val="32"/>
        </w:rPr>
        <w:t>指为保障机构正常运转、完成日常工作任务而发生的人员支出和公用支出。</w:t>
      </w:r>
    </w:p>
    <w:p>
      <w:pPr>
        <w:rPr>
          <w:rFonts w:ascii="仿宋_GB2312" w:eastAsia="仿宋_GB2312"/>
          <w:sz w:val="32"/>
          <w:szCs w:val="32"/>
        </w:rPr>
      </w:pPr>
      <w:r>
        <w:rPr>
          <w:rFonts w:hint="eastAsia" w:ascii="仿宋_GB2312" w:eastAsia="仿宋_GB2312"/>
          <w:b/>
          <w:bCs/>
          <w:sz w:val="32"/>
          <w:szCs w:val="32"/>
        </w:rPr>
        <w:t xml:space="preserve">    5</w:t>
      </w:r>
      <w:r>
        <w:rPr>
          <w:rFonts w:hint="eastAsia" w:ascii="仿宋_GB2312" w:eastAsia="仿宋_GB2312" w:cs="FZFangSong-Z02"/>
          <w:sz w:val="32"/>
          <w:szCs w:val="32"/>
        </w:rPr>
        <w:t>、项目支出：</w:t>
      </w:r>
      <w:r>
        <w:rPr>
          <w:rFonts w:hint="eastAsia" w:ascii="仿宋_GB2312" w:eastAsia="仿宋_GB2312"/>
          <w:sz w:val="32"/>
          <w:szCs w:val="32"/>
        </w:rPr>
        <w:t>指在基本支出之外为完成特定行政任务和事业发展目标所发生的支出。</w:t>
      </w:r>
    </w:p>
    <w:p>
      <w:pPr>
        <w:pStyle w:val="7"/>
        <w:rPr>
          <w:rFonts w:ascii="仿宋_GB2312" w:eastAsia="仿宋_GB2312"/>
          <w:sz w:val="32"/>
          <w:szCs w:val="32"/>
        </w:rPr>
      </w:pPr>
      <w:r>
        <w:rPr>
          <w:rFonts w:hint="eastAsia" w:ascii="仿宋_GB2312" w:eastAsia="仿宋_GB2312"/>
          <w:b/>
          <w:bCs/>
          <w:sz w:val="32"/>
          <w:szCs w:val="32"/>
        </w:rPr>
        <w:t xml:space="preserve">    6</w:t>
      </w:r>
      <w:r>
        <w:rPr>
          <w:rFonts w:hint="eastAsia" w:ascii="仿宋_GB2312" w:eastAsia="仿宋_GB2312" w:cs="FZFangSong-Z02"/>
          <w:sz w:val="32"/>
          <w:szCs w:val="32"/>
        </w:rPr>
        <w:t>、上缴上级支出：</w:t>
      </w:r>
      <w:r>
        <w:rPr>
          <w:rFonts w:hint="eastAsia" w:ascii="仿宋_GB2312" w:eastAsia="仿宋_GB2312"/>
          <w:sz w:val="32"/>
          <w:szCs w:val="32"/>
        </w:rPr>
        <w:t>指下级单位上缴上级的支出。</w:t>
      </w:r>
    </w:p>
    <w:p>
      <w:pPr>
        <w:pStyle w:val="7"/>
        <w:rPr>
          <w:rFonts w:ascii="仿宋_GB2312" w:eastAsia="仿宋_GB2312" w:cs="FZFangSong-Z02"/>
          <w:sz w:val="32"/>
          <w:szCs w:val="32"/>
        </w:rPr>
      </w:pPr>
      <w:r>
        <w:rPr>
          <w:rFonts w:hint="eastAsia" w:ascii="仿宋_GB2312" w:eastAsia="仿宋_GB2312"/>
          <w:b/>
          <w:bCs/>
          <w:sz w:val="32"/>
          <w:szCs w:val="32"/>
        </w:rPr>
        <w:t xml:space="preserve">    7</w:t>
      </w:r>
      <w:r>
        <w:rPr>
          <w:rFonts w:hint="eastAsia" w:ascii="仿宋_GB2312" w:eastAsia="仿宋_GB2312" w:cs="FZFangSong-Z02"/>
          <w:sz w:val="32"/>
          <w:szCs w:val="32"/>
        </w:rPr>
        <w:t>、</w:t>
      </w:r>
      <w:r>
        <w:rPr>
          <w:rFonts w:hint="eastAsia" w:ascii="仿宋_GB2312" w:eastAsia="仿宋_GB2312"/>
          <w:b/>
          <w:bCs/>
          <w:sz w:val="32"/>
          <w:szCs w:val="32"/>
        </w:rPr>
        <w:t>“</w:t>
      </w:r>
      <w:r>
        <w:rPr>
          <w:rFonts w:hint="eastAsia" w:ascii="仿宋_GB2312" w:eastAsia="仿宋_GB2312" w:cs="FZFangSong-Z02"/>
          <w:sz w:val="32"/>
          <w:szCs w:val="32"/>
        </w:rPr>
        <w:t>三公</w:t>
      </w:r>
      <w:r>
        <w:rPr>
          <w:rFonts w:hint="eastAsia" w:ascii="仿宋_GB2312" w:eastAsia="仿宋_GB2312"/>
          <w:b/>
          <w:bCs/>
          <w:sz w:val="32"/>
          <w:szCs w:val="32"/>
        </w:rPr>
        <w:t>”</w:t>
      </w:r>
      <w:r>
        <w:rPr>
          <w:rFonts w:hint="eastAsia" w:ascii="仿宋_GB2312" w:eastAsia="仿宋_GB2312" w:cs="FZFangSong-Z02"/>
          <w:sz w:val="32"/>
          <w:szCs w:val="32"/>
        </w:rPr>
        <w:t>经费：纳入市级财政预算管理的</w:t>
      </w:r>
      <w:r>
        <w:rPr>
          <w:rFonts w:hint="eastAsia" w:ascii="仿宋_GB2312" w:eastAsia="仿宋_GB2312"/>
          <w:sz w:val="32"/>
          <w:szCs w:val="32"/>
        </w:rPr>
        <w:t>“</w:t>
      </w:r>
      <w:r>
        <w:rPr>
          <w:rFonts w:hint="eastAsia" w:ascii="仿宋_GB2312" w:eastAsia="仿宋_GB2312" w:cs="FZFangSong-Z02"/>
          <w:sz w:val="32"/>
          <w:szCs w:val="32"/>
        </w:rPr>
        <w:t>三公</w:t>
      </w:r>
      <w:r>
        <w:rPr>
          <w:rFonts w:hint="eastAsia" w:ascii="仿宋_GB2312" w:eastAsia="仿宋_GB2312"/>
          <w:sz w:val="32"/>
          <w:szCs w:val="32"/>
        </w:rPr>
        <w:t>”</w:t>
      </w:r>
      <w:r>
        <w:rPr>
          <w:rFonts w:hint="eastAsia" w:ascii="仿宋_GB2312" w:eastAsia="仿宋_GB2312" w:cs="FZFangSong-Z02"/>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eastAsia="仿宋_GB2312" w:cs="FZFangSong-Z02"/>
          <w:sz w:val="32"/>
          <w:szCs w:val="32"/>
        </w:rPr>
      </w:pPr>
      <w:r>
        <w:rPr>
          <w:rFonts w:hint="eastAsia" w:ascii="仿宋_GB2312" w:eastAsia="仿宋_GB2312"/>
          <w:b/>
          <w:bCs/>
          <w:sz w:val="32"/>
          <w:szCs w:val="32"/>
        </w:rPr>
        <w:t xml:space="preserve">    8</w:t>
      </w:r>
      <w:r>
        <w:rPr>
          <w:rFonts w:hint="eastAsia" w:ascii="仿宋_GB2312" w:eastAsia="仿宋_GB2312"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ind w:firstLine="480" w:firstLineChars="150"/>
        <w:rPr>
          <w:rFonts w:ascii="仿宋_GB2312" w:eastAsia="仿宋_GB2312"/>
          <w:sz w:val="32"/>
          <w:szCs w:val="32"/>
        </w:rPr>
      </w:pPr>
      <w:r>
        <w:rPr>
          <w:rFonts w:hint="eastAsia" w:ascii="黑体" w:eastAsia="黑体" w:cs="宋体"/>
          <w:color w:val="000000"/>
          <w:kern w:val="0"/>
          <w:sz w:val="32"/>
          <w:szCs w:val="32"/>
        </w:rPr>
        <w:t>九、其它需要说明的事项</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无其它需要说明的事项</w:t>
      </w:r>
      <w:r>
        <w:rPr>
          <w:rFonts w:hint="eastAsia" w:ascii="仿宋_GB2312" w:eastAsia="仿宋_GB2312" w:cs="宋体"/>
          <w:b/>
          <w:bCs/>
          <w:color w:val="000000"/>
          <w:kern w:val="0"/>
          <w:sz w:val="32"/>
          <w:szCs w:val="32"/>
        </w:rPr>
        <w:t>。</w:t>
      </w:r>
    </w:p>
    <w:sectPr>
      <w:pgSz w:w="16838" w:h="11906" w:orient="landscape"/>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FZFangSong-Z0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E7178D"/>
    <w:multiLevelType w:val="multilevel"/>
    <w:tmpl w:val="E4E7178D"/>
    <w:lvl w:ilvl="0" w:tentative="0">
      <w:start w:val="1"/>
      <w:numFmt w:val="decimal"/>
      <w:lvlText w:val="（%1）"/>
      <w:lvlJc w:val="left"/>
      <w:pPr>
        <w:tabs>
          <w:tab w:val="left" w:pos="1280"/>
        </w:tabs>
        <w:ind w:left="1280" w:hanging="80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2"/>
  </w:compat>
  <w:rsids>
    <w:rsidRoot w:val="0020723B"/>
    <w:rsid w:val="0020723B"/>
    <w:rsid w:val="00AC3164"/>
    <w:rsid w:val="00DB7D12"/>
    <w:rsid w:val="20185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uiPriority w:val="0"/>
    <w:rPr>
      <w:b/>
      <w:bCs/>
    </w:rPr>
  </w:style>
  <w:style w:type="paragraph" w:customStyle="1" w:styleId="7">
    <w:name w:val="Default"/>
    <w:next w:val="3"/>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28</Pages>
  <Words>1114</Words>
  <Characters>6355</Characters>
  <Lines>52</Lines>
  <Paragraphs>14</Paragraphs>
  <TotalTime>8</TotalTime>
  <ScaleCrop>false</ScaleCrop>
  <LinksUpToDate>false</LinksUpToDate>
  <CharactersWithSpaces>7455</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2017-10-27T09:35:00Z</dcterms:created>
  <dc:creator>lenovo</dc:creator>
  <cp:lastModifiedBy>Administrator</cp:lastModifiedBy>
  <dcterms:modified xsi:type="dcterms:W3CDTF">2024-01-18T02:09:28Z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3B1ED22828BB4F55971EC00484F08819</vt:lpwstr>
  </property>
</Properties>
</file>