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cs="宋体"/>
          <w:b/>
          <w:bCs/>
          <w:color w:val="000000"/>
          <w:kern w:val="0"/>
          <w:sz w:val="44"/>
          <w:szCs w:val="44"/>
        </w:rPr>
        <w:t>廊坊市广阳区银河北路街道办事处2017年部门预算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p>
      <w:pPr>
        <w:ind w:firstLine="640" w:firstLineChars="200"/>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廊坊市广阳区银河北路街道办事处</w:t>
      </w:r>
      <w:r>
        <w:rPr>
          <w:rFonts w:hint="eastAsia" w:ascii="仿宋_GB2312" w:eastAsia="仿宋_GB2312"/>
          <w:sz w:val="32"/>
          <w:szCs w:val="32"/>
        </w:rPr>
        <w:t>2017年部门预算公开如下：</w:t>
      </w:r>
    </w:p>
    <w:p>
      <w:pPr>
        <w:widowControl/>
        <w:spacing w:line="360" w:lineRule="atLeast"/>
        <w:jc w:val="left"/>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一、部门职责及机构设置情况</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1、宣传、贯彻、落实党的路线、方针、政策和国家的法律法规，执行上级党委、政府的决定和命令。</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2、制定并组织实施本行政区域内的经济和社会发展规划，促进经济和社会事业的全面发展。</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3、加强街道、社区党的建设，领导和支持群团组织依法独立开展工作。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4、依法行政区域内的各项社会事务，组织协调本西安区内机关、团体和企事业单位完成地区性、群众性和社会性的工作任务。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5、加强街道、社区精神文明建设和文化建设，促进社会文明进步。</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6、加强街道、社区社会治安综合治理工作，维护社会稳定。兴建社区服务设施，强化服务功能，提供多种形式的公共服务。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7、完成区委、区政府交办的其它工作任务。</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部门机构设置情况</w:t>
      </w:r>
    </w:p>
    <w:tbl>
      <w:tblPr>
        <w:tblStyle w:val="4"/>
        <w:tblW w:w="950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88"/>
        <w:gridCol w:w="1288"/>
        <w:gridCol w:w="1375"/>
        <w:gridCol w:w="25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32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29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386"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5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2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28"/>
                <w:szCs w:val="28"/>
              </w:rPr>
            </w:pPr>
            <w:r>
              <w:rPr>
                <w:rFonts w:hint="eastAsia" w:ascii="仿宋_GB2312" w:eastAsia="仿宋_GB2312" w:cs="宋体"/>
                <w:kern w:val="0"/>
                <w:sz w:val="28"/>
                <w:szCs w:val="28"/>
              </w:rPr>
              <w:t>廊坊市广阳区银河北路街道办事处</w:t>
            </w:r>
          </w:p>
        </w:tc>
        <w:tc>
          <w:tcPr>
            <w:tcW w:w="129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28"/>
                <w:szCs w:val="28"/>
              </w:rPr>
            </w:pPr>
            <w:r>
              <w:rPr>
                <w:rFonts w:hint="eastAsia" w:ascii="仿宋_GB2312" w:eastAsia="仿宋_GB2312" w:cs="宋体"/>
                <w:kern w:val="0"/>
                <w:sz w:val="28"/>
                <w:szCs w:val="28"/>
              </w:rPr>
              <w:t>行政单位</w:t>
            </w:r>
          </w:p>
        </w:tc>
        <w:tc>
          <w:tcPr>
            <w:tcW w:w="138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28"/>
                <w:szCs w:val="28"/>
              </w:rPr>
            </w:pPr>
            <w:r>
              <w:rPr>
                <w:rFonts w:hint="eastAsia" w:ascii="仿宋_GB2312" w:eastAsia="仿宋_GB2312" w:cs="宋体"/>
                <w:kern w:val="0"/>
                <w:sz w:val="28"/>
                <w:szCs w:val="28"/>
              </w:rPr>
              <w:t>正科级</w:t>
            </w:r>
          </w:p>
        </w:tc>
        <w:tc>
          <w:tcPr>
            <w:tcW w:w="257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2017年预算收入1246.23万元，其中：一般公共预算收入1246.23万元，政府性基金收入0万元。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2017年支出预算1246.23万元，其中基本支出1246.23万元，包括人员经费和日常公用经费，项目支出0万元。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2017年预算收支安排1246.23万元，较2016年预算增加160.97万元，其中：基本支出增加160.97万元，主要为增加人员经费支出。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2017年预算安排我部门机关运行经费7.37万元，其中办公经费7.37万元，其他业务费0万元。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基层党建促提质。一是在强化服务意识上下功夫。培养树立街道干部群众第一的理念，以求真务实的精神深入群众之中，体察民情、了解民意，为群众诚心诚意办实事、尽心尽力解难事、坚持不懈做好事。二是在提升综合素质上下功夫。加强街居干部理论知识、前沿科技知识和先进经验的学习，研究新政策，吃透新情况，不断提升自身素质。坚持“学中干，干中学”，深入社区、深入居民，在基层实践中锻炼提高。三是在提升工作效能上下功夫。继续建立健全各项规章制度，加强机关作风建设，充分发挥纪检部门的监督作用，不断增强街居干部的纪律意识、责任意识和大局意识，坚决杜绝纪律松驰、工作拖延、自由散漫等消极怠工现象，努力提高工作效率。四是在创新服务载体上下功夫。积极推广在职党员进社区、结对帮扶等做法，运用多种形式和手段开展服务；广泛开展以党员为骨干的各类志愿服务；充分调动广大群众自我管理、自我服务的积极性，构建以党组织为核心、全社会共同参与的服务格局。</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项目引建求突破。不断优化招商结构和投资环境，注重引进规模大、质量好的项目，特别是高端现代服务业项目，高科技、高附加值、高税收项目。加大重点项目的推进力度，在广阳汽贸园建设方面，找准联建户突破口，形成多部门执法合力，实现对土地和资源的有效利用，加快辖区土地的全面盘活，培育辖区经济增长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社区创建增亮点。一是深化社区服务功能。紧紧围绕志愿者服务开展工作，进一步创新服务形式，以“特色专业志愿服务团队”建设为侧重点，细化服务方向，提高服务质量，不断开创新开路街道惠民利民新品牌。二是创新社区管理机制体制。鼓励辖区各类组织、单位和个人共驻共建，力争建立起覆盖社区全体成员、服务主体多元、服务功能完善、服务质量和管理模式都达到领先水平的社区服务体系。三是挖掘特色精品社区创建内涵。将8个社区划分为“三个三分之一”，其中三分之一老旧社区加强社区建设，摸索建立社区特色；三分之一已有特色社区加大挖掘力度，出亮点，立标杆；三分之一重点社区强化街道扶持，树品牌，建口碑，争取取得各社区特色各异，百花齐放的良好效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四）、和谐共建保稳定。一是强化维稳意识。在原有上访点有效地化解的基础上，将防复发、防新发的任务作为重点，时刻紧绷维护稳定这根弦，将问题想在困难处，想在发生前，将隐患消除在萌芽状态。二是强化安全意识。进一步推动落实企业主体责任，强化重点领域专项整治，健全隐患排查长效管理机制，强化安全生产培训教育，加强和有关部门的协调配合，从源头打击控制非法、违法行为，创造良好平稳的安全生产环境。三是强化大气污染防治。细化大气污染防治网格化管理，明确责任，工作有的放矢。并加强督导，强化机制。同时不断加大宣传教育力度，营造干群齐心协力防治大气污染、改善生态环境的浓厚氛围。</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廊坊市广阳区银河北路街道办事处</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职责分类绩效目标情况说明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银河北路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1、宣传、贯彻、落实党的路线、方针、政策和国家的法律法规，执行上级党委、政府的决定和命令；</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2、制定并组织实施本行政区域内的经济和社会发展规</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划，促进经济和社会事业的全面发展；</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3、加强街道、社区党的建设，领导和支持群团组织依法独立开展工作；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4、依法管理本行政区域内的各项社会事务，组织协调本辖区内机关、团体和企事业单位完成地区性、群众性和社会性的工作任务，支持、配合、监督派驻本辖区的公安、工商、税务等机构或人员正常开展工作；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5、加强街道、社区精神文明建设和文化建设，促进社会文明进步；</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6、加强街道、社区社会治安综合治理工作，维护社会稳定；</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7、兴建社区服务设施，强化服务功能，提供多种形式的公共服务；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lang w:val="en-US" w:eastAsia="zh-CN"/>
        </w:rPr>
        <w:t xml:space="preserve"> </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8、加大城市建设与经营管理力度，发展社会公共事业，加快城市建设和发展步伐；</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lang w:val="en-US" w:eastAsia="zh-CN"/>
        </w:rPr>
        <w:t xml:space="preserve"> </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9、完成区委、区政府交办的其它工作任务。</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85"/>
        <w:gridCol w:w="784"/>
        <w:gridCol w:w="1744"/>
        <w:gridCol w:w="1744"/>
        <w:gridCol w:w="1014"/>
        <w:gridCol w:w="690"/>
        <w:gridCol w:w="1010"/>
        <w:gridCol w:w="870"/>
        <w:gridCol w:w="6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917廊坊市广阳区银河北路街道办事处</w:t>
            </w:r>
          </w:p>
        </w:tc>
        <w:tc>
          <w:tcPr>
            <w:tcW w:w="3300" w:type="dxa"/>
            <w:gridSpan w:val="4"/>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bottom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425" w:type="dxa"/>
            <w:vMerge w:val="restart"/>
            <w:tcBorders>
              <w:bottom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3315" w:type="dxa"/>
            <w:vMerge w:val="restart"/>
            <w:tcBorders>
              <w:bottom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3315" w:type="dxa"/>
            <w:vMerge w:val="restart"/>
            <w:tcBorders>
              <w:bottom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575" w:type="dxa"/>
            <w:vMerge w:val="restart"/>
            <w:tcBorders>
              <w:bottom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300" w:type="dxa"/>
            <w:gridSpan w:val="4"/>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vMerge w:val="continue"/>
            <w:vAlign w:val="center"/>
          </w:tcPr>
          <w:p/>
        </w:tc>
        <w:tc>
          <w:tcPr>
            <w:vMerge w:val="continue"/>
            <w:vAlign w:val="center"/>
          </w:tcPr>
          <w:p/>
        </w:tc>
        <w:tc>
          <w:tcPr>
            <w:vMerge w:val="continue"/>
            <w:vAlign w:val="center"/>
          </w:tcPr>
          <w:p/>
        </w:tc>
        <w:tc>
          <w:tcPr>
            <w:vMerge w:val="continue"/>
            <w:vAlign w:val="center"/>
          </w:tcPr>
          <w:p/>
        </w:tc>
        <w:tc>
          <w:tcPr>
            <w:vMerge w:val="continue"/>
            <w:vAlign w:val="center"/>
          </w:tcPr>
          <w:p/>
        </w:tc>
        <w:tc>
          <w:tcPr>
            <w:tcW w:w="825" w:type="dxa"/>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优</w:t>
            </w:r>
          </w:p>
        </w:tc>
        <w:tc>
          <w:tcPr>
            <w:tcW w:w="825" w:type="dxa"/>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良</w:t>
            </w:r>
          </w:p>
        </w:tc>
        <w:tc>
          <w:tcPr>
            <w:tcW w:w="825" w:type="dxa"/>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中</w:t>
            </w:r>
          </w:p>
        </w:tc>
        <w:tc>
          <w:tcPr>
            <w:tcW w:w="825" w:type="dxa"/>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政务服务</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政务公开、镇政府、街办处会议管理、督察督办、政务联络等工作。</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突出政务、加强事务、提升服务，力求重点工作出精品，难点工作求突破、基础工作有创新、常规工作见特色。以机关干部作风量化指标为依据，增强了工作综合服务实力。</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政务公开</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承担镇、街办处政务公开暨行政权力公开透明运行工作领导小组的日常工作，指导和协调全镇政务公开及政务服务中心建设、推进行政服务体系标准化建设工作。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通过完成镇、街办处政务信息公开工作的指导监督工作，使全镇政府信息公开业务队伍素质不断提高，业务水平进一步提升；政府政务信息公开范围不断扩大，公开内容得到进一步细化。</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反映全镇及街办处政务公开工作程度</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政务联络</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负责管理县政府驻外办事处工作。负责县领导、县有关部门公务活动的接待安排；</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做好区际间与本镇、街办处政务往来服务保障工作</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反映组织的与外地间的经济文化交流和信息采集活动情况</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vMerge w:val="continue"/>
            <w:vAlign w:val="center"/>
          </w:tcPr>
          <w:p/>
        </w:tc>
        <w:tc>
          <w:tcPr>
            <w:vMerge w:val="continue"/>
            <w:vAlign w:val="center"/>
          </w:tcPr>
          <w:p/>
        </w:tc>
        <w:tc>
          <w:tcPr>
            <w:vMerge w:val="continue"/>
            <w:vAlign w:val="center"/>
          </w:tcPr>
          <w:p/>
        </w:tc>
        <w:tc>
          <w:tcPr>
            <w:vMerge w:val="continue"/>
            <w:vAlign w:val="center"/>
          </w:tcPr>
          <w:p/>
        </w:tc>
        <w:tc>
          <w:tcPr>
            <w:tcW w:w="157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做好县际间与我县政务往来服务保障工作</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反映对镇党委镇政府、街办处安排的重大活动联络服务工作完成情况</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会议管理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政府会议的准备和服务工作，协助政府领导组织会议决定事项的落实。</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做好街道及乡镇政府会议保障；严格召开的会议审批，控制会议费开支规模。</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反映纳入以街道及镇政府名义召开会议名单的会议数量占全年以街道政府名义召开会议数量的比率</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督查督办</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督促检查街道各部门对政府决定事项及政府领导重要指示的执行落实情况并跟踪调研，及时向领导报告。组织承办人大代表和政协提案工作。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确保街道决定事项及街道领导重要指示得到贯彻落实。</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反映对市政府和区政府决定事项及市政府、区政府领导重要指示落实情况</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应急管理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基层政府值班工作，及时报告重要情况，传达和督促落实镇政府领导指示。协助镇政府领导做好需由基层政府组织处理的突发事件应急处置工作。</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应急管理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政府值班工作，及时报告重要情况，传达和督促落实镇政府领导指示。协助镇政府领导做好需由镇政府组织处理的突发事件应急处置工作。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维护好本地政府应急平台，确保全镇、街办处应急工作顺利完成；各类突发事件得到及时妥善处置</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反映全镇突发事件是否能够得到及时发现并部署处理措施情况</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电子政务管理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政府电子政务管理与服务</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反映街道视频会议、电视电话会议、全街道电子政务系统的使用管理与运维情况</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地方志事务</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全街道地方志事务管理。</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弘扬和传承优秀文化传统，充分发挥志书“资政、存史、教化”的综合功能，为社会各界方便快捷提供县情，为本县经济社会建设服务，为地方志工作者提供资料和工具。</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地方志事务管理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拟订全街道地方志工作规划并组织实施；搜集、保存、管理地方文献和资料；组织开发利用地方志资源；建设和维护街道地方志县情网络。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为社会各界方便快捷提供街道情，为经济社会建设服务</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反映全街道各志编制出现差错情况</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街道政务管理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按照有关要求，做好机关办公区房屋与附属设施的维修、维护工作；做好机关办公区绿化、美化工作；做好后勤保障和老干部管理服务工作。</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高质量审核公文，让县领导满意；及时办理各类文电，确保事项在第一时间得到街道批示意见；高质量起草的街道重要讲话及重要文稿。</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反映各项综合业务工作完成情况</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60%</w:t>
            </w:r>
          </w:p>
        </w:tc>
      </w:tr>
    </w:tbl>
    <w:p>
      <w:pPr>
        <w:widowControl/>
        <w:spacing w:line="360" w:lineRule="atLeast"/>
        <w:jc w:val="left"/>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jc w:val="left"/>
        <w:rPr>
          <w:rFonts w:hint="eastAsia" w:ascii="仿宋_GB2312" w:eastAsia="仿宋_GB2312" w:cs="宋体"/>
          <w:color w:val="000000"/>
          <w:kern w:val="0"/>
          <w:sz w:val="32"/>
          <w:szCs w:val="32"/>
        </w:rPr>
      </w:pPr>
      <w:bookmarkStart w:id="0" w:name="_GoBack"/>
      <w:bookmarkEnd w:id="0"/>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hint="eastAsia"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eastAsia="仿宋_GB2312" w:cs="Times New Roman"/>
                <w:sz w:val="28"/>
                <w:szCs w:val="28"/>
              </w:rPr>
            </w:pPr>
            <w:r>
              <w:rPr>
                <w:rFonts w:hint="eastAsia" w:ascii="仿宋_GB2312" w:eastAsia="仿宋_GB2312" w:cs="宋体"/>
                <w:color w:val="000000"/>
                <w:kern w:val="0"/>
                <w:sz w:val="28"/>
                <w:szCs w:val="28"/>
              </w:rPr>
              <w:t>廊坊市广阳区银河北路街道办事处</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hint="eastAsia" w:ascii="仿宋_GB2312" w:eastAsia="仿宋_GB2312" w:cs="Times New Roman"/>
                <w:b/>
                <w:sz w:val="28"/>
                <w:szCs w:val="28"/>
              </w:rPr>
            </w:pPr>
          </w:p>
        </w:tc>
        <w:tc>
          <w:tcPr>
            <w:tcW w:w="303" w:type="pct"/>
            <w:shd w:val="clear" w:color="auto" w:fill="auto"/>
            <w:vAlign w:val="center"/>
          </w:tcPr>
          <w:p>
            <w:pPr>
              <w:spacing w:line="300" w:lineRule="exact"/>
              <w:jc w:val="center"/>
              <w:rPr>
                <w:rFonts w:hint="eastAsia" w:ascii="仿宋_GB2312" w:eastAsia="仿宋_GB2312" w:cs="Times New Roman"/>
                <w:b/>
                <w:sz w:val="28"/>
                <w:szCs w:val="28"/>
              </w:rPr>
            </w:pPr>
          </w:p>
        </w:tc>
        <w:tc>
          <w:tcPr>
            <w:tcW w:w="482" w:type="pct"/>
            <w:shd w:val="clear" w:color="auto" w:fill="auto"/>
            <w:vAlign w:val="center"/>
          </w:tcPr>
          <w:p>
            <w:pPr>
              <w:spacing w:line="300" w:lineRule="exact"/>
              <w:jc w:val="center"/>
              <w:rPr>
                <w:rFonts w:hint="eastAsia" w:ascii="仿宋_GB2312" w:eastAsia="仿宋_GB2312" w:cs="Times New Roman"/>
                <w:b/>
                <w:sz w:val="28"/>
                <w:szCs w:val="28"/>
              </w:rPr>
            </w:pPr>
          </w:p>
        </w:tc>
        <w:tc>
          <w:tcPr>
            <w:tcW w:w="303" w:type="pct"/>
            <w:shd w:val="clear" w:color="auto" w:fill="auto"/>
            <w:vAlign w:val="center"/>
          </w:tcPr>
          <w:p>
            <w:pPr>
              <w:spacing w:line="300" w:lineRule="exact"/>
              <w:jc w:val="center"/>
              <w:rPr>
                <w:rFonts w:hint="eastAsia" w:ascii="仿宋_GB2312" w:eastAsia="仿宋_GB2312" w:cs="Times New Roman"/>
                <w:b/>
                <w:sz w:val="28"/>
                <w:szCs w:val="28"/>
              </w:rPr>
            </w:pPr>
          </w:p>
        </w:tc>
        <w:tc>
          <w:tcPr>
            <w:tcW w:w="303"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282" w:type="pct"/>
            <w:shd w:val="clear" w:color="auto" w:fill="auto"/>
            <w:vAlign w:val="center"/>
          </w:tcPr>
          <w:p>
            <w:pPr>
              <w:spacing w:line="300" w:lineRule="exact"/>
              <w:jc w:val="center"/>
              <w:rPr>
                <w:rFonts w:hint="eastAsia" w:ascii="仿宋_GB2312" w:eastAsia="仿宋_GB2312" w:cs="Times New Roman"/>
                <w:b/>
                <w:sz w:val="28"/>
                <w:szCs w:val="28"/>
              </w:rPr>
            </w:pPr>
          </w:p>
        </w:tc>
        <w:tc>
          <w:tcPr>
            <w:tcW w:w="304" w:type="pct"/>
            <w:shd w:val="clear" w:color="auto" w:fill="auto"/>
            <w:vAlign w:val="center"/>
          </w:tcPr>
          <w:p>
            <w:pPr>
              <w:spacing w:line="300" w:lineRule="exact"/>
              <w:jc w:val="center"/>
              <w:rPr>
                <w:rFonts w:hint="eastAsia" w:ascii="仿宋_GB2312" w:eastAsia="仿宋_GB2312" w:cs="Times New Roman"/>
                <w:b/>
                <w:sz w:val="28"/>
                <w:szCs w:val="28"/>
              </w:rPr>
            </w:pPr>
          </w:p>
        </w:tc>
        <w:tc>
          <w:tcPr>
            <w:tcW w:w="304" w:type="pct"/>
            <w:shd w:val="clear" w:color="auto" w:fill="auto"/>
            <w:vAlign w:val="center"/>
          </w:tcPr>
          <w:p>
            <w:pPr>
              <w:spacing w:line="300" w:lineRule="exact"/>
              <w:jc w:val="center"/>
              <w:rPr>
                <w:rFonts w:hint="eastAsia" w:ascii="仿宋_GB2312" w:eastAsia="仿宋_GB2312" w:cs="Times New Roman"/>
                <w:b/>
                <w:sz w:val="28"/>
                <w:szCs w:val="28"/>
              </w:rPr>
            </w:pPr>
          </w:p>
        </w:tc>
        <w:tc>
          <w:tcPr>
            <w:tcW w:w="286" w:type="pct"/>
            <w:shd w:val="clear" w:color="auto" w:fill="auto"/>
            <w:vAlign w:val="center"/>
          </w:tcPr>
          <w:p>
            <w:pPr>
              <w:spacing w:line="300" w:lineRule="exact"/>
              <w:jc w:val="center"/>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hint="eastAsia" w:ascii="仿宋_GB2312" w:eastAsia="仿宋_GB2312" w:cs="Times New Roman"/>
                <w:b/>
                <w:sz w:val="28"/>
                <w:szCs w:val="28"/>
              </w:rPr>
            </w:pPr>
          </w:p>
        </w:tc>
        <w:tc>
          <w:tcPr>
            <w:tcW w:w="367" w:type="pct"/>
            <w:shd w:val="clear" w:color="auto" w:fill="auto"/>
            <w:vAlign w:val="center"/>
          </w:tcPr>
          <w:p>
            <w:pPr>
              <w:spacing w:line="300" w:lineRule="exact"/>
              <w:jc w:val="center"/>
              <w:rPr>
                <w:rFonts w:hint="eastAsia" w:ascii="仿宋_GB2312" w:eastAsia="仿宋_GB2312" w:cs="Times New Roman"/>
                <w:b/>
                <w:sz w:val="28"/>
                <w:szCs w:val="28"/>
              </w:rPr>
            </w:pPr>
          </w:p>
        </w:tc>
        <w:tc>
          <w:tcPr>
            <w:tcW w:w="303" w:type="pct"/>
            <w:shd w:val="clear" w:color="auto" w:fill="auto"/>
            <w:vAlign w:val="center"/>
          </w:tcPr>
          <w:p>
            <w:pPr>
              <w:spacing w:line="300" w:lineRule="exact"/>
              <w:jc w:val="center"/>
              <w:rPr>
                <w:rFonts w:hint="eastAsia" w:ascii="仿宋_GB2312" w:eastAsia="仿宋_GB2312" w:cs="Times New Roman"/>
                <w:b/>
                <w:sz w:val="28"/>
                <w:szCs w:val="28"/>
              </w:rPr>
            </w:pPr>
          </w:p>
        </w:tc>
        <w:tc>
          <w:tcPr>
            <w:tcW w:w="482" w:type="pct"/>
            <w:shd w:val="clear" w:color="auto" w:fill="auto"/>
            <w:vAlign w:val="center"/>
          </w:tcPr>
          <w:p>
            <w:pPr>
              <w:spacing w:line="300" w:lineRule="exact"/>
              <w:jc w:val="center"/>
              <w:rPr>
                <w:rFonts w:hint="eastAsia" w:ascii="仿宋_GB2312" w:eastAsia="仿宋_GB2312" w:cs="Times New Roman"/>
                <w:b/>
                <w:sz w:val="28"/>
                <w:szCs w:val="28"/>
              </w:rPr>
            </w:pPr>
          </w:p>
        </w:tc>
        <w:tc>
          <w:tcPr>
            <w:tcW w:w="303" w:type="pct"/>
            <w:shd w:val="clear" w:color="auto" w:fill="auto"/>
            <w:vAlign w:val="center"/>
          </w:tcPr>
          <w:p>
            <w:pPr>
              <w:spacing w:line="300" w:lineRule="exact"/>
              <w:jc w:val="center"/>
              <w:rPr>
                <w:rFonts w:hint="eastAsia" w:ascii="仿宋_GB2312" w:eastAsia="仿宋_GB2312" w:cs="Times New Roman"/>
                <w:b/>
                <w:sz w:val="28"/>
                <w:szCs w:val="28"/>
              </w:rPr>
            </w:pPr>
          </w:p>
        </w:tc>
        <w:tc>
          <w:tcPr>
            <w:tcW w:w="303"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310" w:type="pct"/>
            <w:shd w:val="clear" w:color="auto" w:fill="auto"/>
            <w:vAlign w:val="center"/>
          </w:tcPr>
          <w:p>
            <w:pPr>
              <w:spacing w:line="300" w:lineRule="exact"/>
              <w:jc w:val="center"/>
              <w:rPr>
                <w:rFonts w:hint="eastAsia" w:ascii="仿宋_GB2312" w:eastAsia="仿宋_GB2312" w:cs="Times New Roman"/>
                <w:b/>
                <w:sz w:val="28"/>
                <w:szCs w:val="28"/>
              </w:rPr>
            </w:pPr>
          </w:p>
        </w:tc>
        <w:tc>
          <w:tcPr>
            <w:tcW w:w="282" w:type="pct"/>
            <w:shd w:val="clear" w:color="auto" w:fill="auto"/>
            <w:vAlign w:val="center"/>
          </w:tcPr>
          <w:p>
            <w:pPr>
              <w:spacing w:line="300" w:lineRule="exact"/>
              <w:jc w:val="center"/>
              <w:rPr>
                <w:rFonts w:hint="eastAsia" w:ascii="仿宋_GB2312" w:eastAsia="仿宋_GB2312" w:cs="Times New Roman"/>
                <w:b/>
                <w:sz w:val="28"/>
                <w:szCs w:val="28"/>
              </w:rPr>
            </w:pPr>
          </w:p>
        </w:tc>
        <w:tc>
          <w:tcPr>
            <w:tcW w:w="304" w:type="pct"/>
            <w:shd w:val="clear" w:color="auto" w:fill="auto"/>
            <w:vAlign w:val="center"/>
          </w:tcPr>
          <w:p>
            <w:pPr>
              <w:spacing w:line="300" w:lineRule="exact"/>
              <w:jc w:val="center"/>
              <w:rPr>
                <w:rFonts w:hint="eastAsia" w:ascii="仿宋_GB2312" w:eastAsia="仿宋_GB2312" w:cs="Times New Roman"/>
                <w:b/>
                <w:sz w:val="28"/>
                <w:szCs w:val="28"/>
              </w:rPr>
            </w:pPr>
          </w:p>
        </w:tc>
        <w:tc>
          <w:tcPr>
            <w:tcW w:w="304" w:type="pct"/>
            <w:shd w:val="clear" w:color="auto" w:fill="auto"/>
            <w:vAlign w:val="center"/>
          </w:tcPr>
          <w:p>
            <w:pPr>
              <w:spacing w:line="300" w:lineRule="exact"/>
              <w:jc w:val="center"/>
              <w:rPr>
                <w:rFonts w:hint="eastAsia" w:ascii="仿宋_GB2312" w:eastAsia="仿宋_GB2312" w:cs="Times New Roman"/>
                <w:b/>
                <w:sz w:val="28"/>
                <w:szCs w:val="28"/>
              </w:rPr>
            </w:pPr>
          </w:p>
        </w:tc>
        <w:tc>
          <w:tcPr>
            <w:tcW w:w="286" w:type="pct"/>
            <w:shd w:val="clear" w:color="auto" w:fill="auto"/>
            <w:vAlign w:val="center"/>
          </w:tcPr>
          <w:p>
            <w:pPr>
              <w:spacing w:line="300" w:lineRule="exact"/>
              <w:jc w:val="center"/>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hint="eastAsia" w:ascii="仿宋_GB2312" w:eastAsia="仿宋_GB2312" w:cs="Times New Roman"/>
                <w:sz w:val="28"/>
                <w:szCs w:val="28"/>
              </w:rPr>
            </w:pPr>
          </w:p>
        </w:tc>
        <w:tc>
          <w:tcPr>
            <w:tcW w:w="367" w:type="pct"/>
            <w:shd w:val="clear" w:color="auto" w:fill="auto"/>
            <w:vAlign w:val="center"/>
          </w:tcPr>
          <w:p>
            <w:pPr>
              <w:spacing w:line="300" w:lineRule="exact"/>
              <w:jc w:val="center"/>
              <w:rPr>
                <w:rFonts w:hint="eastAsia" w:ascii="仿宋_GB2312" w:eastAsia="仿宋_GB2312" w:cs="Times New Roman"/>
                <w:sz w:val="28"/>
                <w:szCs w:val="28"/>
              </w:rPr>
            </w:pPr>
          </w:p>
        </w:tc>
        <w:tc>
          <w:tcPr>
            <w:tcW w:w="303" w:type="pct"/>
            <w:shd w:val="clear" w:color="auto" w:fill="auto"/>
            <w:vAlign w:val="center"/>
          </w:tcPr>
          <w:p>
            <w:pPr>
              <w:spacing w:line="300" w:lineRule="exact"/>
              <w:jc w:val="center"/>
              <w:rPr>
                <w:rFonts w:hint="eastAsia" w:ascii="仿宋_GB2312" w:eastAsia="仿宋_GB2312" w:cs="Times New Roman"/>
                <w:sz w:val="28"/>
                <w:szCs w:val="28"/>
              </w:rPr>
            </w:pPr>
          </w:p>
        </w:tc>
        <w:tc>
          <w:tcPr>
            <w:tcW w:w="482" w:type="pct"/>
            <w:shd w:val="clear" w:color="auto" w:fill="auto"/>
            <w:vAlign w:val="center"/>
          </w:tcPr>
          <w:p>
            <w:pPr>
              <w:spacing w:line="300" w:lineRule="exact"/>
              <w:jc w:val="center"/>
              <w:rPr>
                <w:rFonts w:hint="eastAsia" w:ascii="仿宋_GB2312" w:eastAsia="仿宋_GB2312" w:cs="Times New Roman"/>
                <w:sz w:val="28"/>
                <w:szCs w:val="28"/>
              </w:rPr>
            </w:pPr>
          </w:p>
        </w:tc>
        <w:tc>
          <w:tcPr>
            <w:tcW w:w="303" w:type="pct"/>
            <w:shd w:val="clear" w:color="auto" w:fill="auto"/>
            <w:vAlign w:val="center"/>
          </w:tcPr>
          <w:p>
            <w:pPr>
              <w:spacing w:line="300" w:lineRule="exact"/>
              <w:jc w:val="center"/>
              <w:rPr>
                <w:rFonts w:hint="eastAsia" w:ascii="仿宋_GB2312" w:eastAsia="仿宋_GB2312" w:cs="Times New Roman"/>
                <w:sz w:val="28"/>
                <w:szCs w:val="28"/>
              </w:rPr>
            </w:pPr>
          </w:p>
        </w:tc>
        <w:tc>
          <w:tcPr>
            <w:tcW w:w="303"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282" w:type="pct"/>
            <w:shd w:val="clear" w:color="auto" w:fill="auto"/>
            <w:vAlign w:val="center"/>
          </w:tcPr>
          <w:p>
            <w:pPr>
              <w:spacing w:line="300" w:lineRule="exact"/>
              <w:jc w:val="center"/>
              <w:rPr>
                <w:rFonts w:hint="eastAsia" w:ascii="仿宋_GB2312" w:eastAsia="仿宋_GB2312" w:cs="Times New Roman"/>
                <w:sz w:val="28"/>
                <w:szCs w:val="28"/>
              </w:rPr>
            </w:pPr>
          </w:p>
        </w:tc>
        <w:tc>
          <w:tcPr>
            <w:tcW w:w="304" w:type="pct"/>
            <w:shd w:val="clear" w:color="auto" w:fill="auto"/>
            <w:vAlign w:val="center"/>
          </w:tcPr>
          <w:p>
            <w:pPr>
              <w:spacing w:line="300" w:lineRule="exact"/>
              <w:jc w:val="center"/>
              <w:rPr>
                <w:rFonts w:hint="eastAsia" w:ascii="仿宋_GB2312" w:eastAsia="仿宋_GB2312" w:cs="Times New Roman"/>
                <w:sz w:val="28"/>
                <w:szCs w:val="28"/>
              </w:rPr>
            </w:pPr>
          </w:p>
        </w:tc>
        <w:tc>
          <w:tcPr>
            <w:tcW w:w="304" w:type="pct"/>
            <w:shd w:val="clear" w:color="auto" w:fill="auto"/>
            <w:vAlign w:val="center"/>
          </w:tcPr>
          <w:p>
            <w:pPr>
              <w:spacing w:line="300" w:lineRule="exact"/>
              <w:jc w:val="center"/>
              <w:rPr>
                <w:rFonts w:hint="eastAsia" w:ascii="仿宋_GB2312" w:eastAsia="仿宋_GB2312" w:cs="Times New Roman"/>
                <w:sz w:val="28"/>
                <w:szCs w:val="28"/>
              </w:rPr>
            </w:pPr>
          </w:p>
        </w:tc>
        <w:tc>
          <w:tcPr>
            <w:tcW w:w="286" w:type="pct"/>
            <w:shd w:val="clear" w:color="auto" w:fill="auto"/>
            <w:vAlign w:val="center"/>
          </w:tcPr>
          <w:p>
            <w:pPr>
              <w:spacing w:line="300" w:lineRule="exact"/>
              <w:jc w:val="center"/>
              <w:rPr>
                <w:rFonts w:hint="eastAsia"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hint="eastAsia" w:ascii="仿宋_GB2312" w:eastAsia="仿宋_GB2312" w:cs="Times New Roman"/>
                <w:sz w:val="28"/>
                <w:szCs w:val="28"/>
              </w:rPr>
            </w:pPr>
          </w:p>
        </w:tc>
        <w:tc>
          <w:tcPr>
            <w:tcW w:w="367" w:type="pct"/>
            <w:shd w:val="clear" w:color="auto" w:fill="auto"/>
            <w:vAlign w:val="center"/>
          </w:tcPr>
          <w:p>
            <w:pPr>
              <w:spacing w:line="300" w:lineRule="exact"/>
              <w:jc w:val="center"/>
              <w:rPr>
                <w:rFonts w:hint="eastAsia" w:ascii="仿宋_GB2312" w:eastAsia="仿宋_GB2312" w:cs="Times New Roman"/>
                <w:sz w:val="28"/>
                <w:szCs w:val="28"/>
              </w:rPr>
            </w:pPr>
          </w:p>
        </w:tc>
        <w:tc>
          <w:tcPr>
            <w:tcW w:w="303" w:type="pct"/>
            <w:shd w:val="clear" w:color="auto" w:fill="auto"/>
            <w:vAlign w:val="center"/>
          </w:tcPr>
          <w:p>
            <w:pPr>
              <w:spacing w:line="300" w:lineRule="exact"/>
              <w:jc w:val="center"/>
              <w:rPr>
                <w:rFonts w:hint="eastAsia" w:ascii="仿宋_GB2312" w:eastAsia="仿宋_GB2312" w:cs="Times New Roman"/>
                <w:sz w:val="28"/>
                <w:szCs w:val="28"/>
              </w:rPr>
            </w:pPr>
          </w:p>
        </w:tc>
        <w:tc>
          <w:tcPr>
            <w:tcW w:w="482" w:type="pct"/>
            <w:shd w:val="clear" w:color="auto" w:fill="auto"/>
            <w:vAlign w:val="center"/>
          </w:tcPr>
          <w:p>
            <w:pPr>
              <w:spacing w:line="300" w:lineRule="exact"/>
              <w:jc w:val="center"/>
              <w:rPr>
                <w:rFonts w:hint="eastAsia" w:ascii="仿宋_GB2312" w:eastAsia="仿宋_GB2312" w:cs="Times New Roman"/>
                <w:sz w:val="28"/>
                <w:szCs w:val="28"/>
              </w:rPr>
            </w:pPr>
          </w:p>
        </w:tc>
        <w:tc>
          <w:tcPr>
            <w:tcW w:w="303" w:type="pct"/>
            <w:shd w:val="clear" w:color="auto" w:fill="auto"/>
            <w:vAlign w:val="center"/>
          </w:tcPr>
          <w:p>
            <w:pPr>
              <w:spacing w:line="300" w:lineRule="exact"/>
              <w:jc w:val="center"/>
              <w:rPr>
                <w:rFonts w:hint="eastAsia" w:ascii="仿宋_GB2312" w:eastAsia="仿宋_GB2312" w:cs="Times New Roman"/>
                <w:sz w:val="28"/>
                <w:szCs w:val="28"/>
              </w:rPr>
            </w:pPr>
          </w:p>
        </w:tc>
        <w:tc>
          <w:tcPr>
            <w:tcW w:w="303"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310" w:type="pct"/>
            <w:shd w:val="clear" w:color="auto" w:fill="auto"/>
            <w:vAlign w:val="center"/>
          </w:tcPr>
          <w:p>
            <w:pPr>
              <w:spacing w:line="300" w:lineRule="exact"/>
              <w:jc w:val="center"/>
              <w:rPr>
                <w:rFonts w:hint="eastAsia" w:ascii="仿宋_GB2312" w:eastAsia="仿宋_GB2312" w:cs="Times New Roman"/>
                <w:sz w:val="28"/>
                <w:szCs w:val="28"/>
              </w:rPr>
            </w:pPr>
          </w:p>
        </w:tc>
        <w:tc>
          <w:tcPr>
            <w:tcW w:w="282" w:type="pct"/>
            <w:shd w:val="clear" w:color="auto" w:fill="auto"/>
            <w:vAlign w:val="center"/>
          </w:tcPr>
          <w:p>
            <w:pPr>
              <w:spacing w:line="300" w:lineRule="exact"/>
              <w:jc w:val="center"/>
              <w:rPr>
                <w:rFonts w:hint="eastAsia" w:ascii="仿宋_GB2312" w:eastAsia="仿宋_GB2312" w:cs="Times New Roman"/>
                <w:sz w:val="28"/>
                <w:szCs w:val="28"/>
              </w:rPr>
            </w:pPr>
          </w:p>
        </w:tc>
        <w:tc>
          <w:tcPr>
            <w:tcW w:w="304" w:type="pct"/>
            <w:shd w:val="clear" w:color="auto" w:fill="auto"/>
            <w:vAlign w:val="center"/>
          </w:tcPr>
          <w:p>
            <w:pPr>
              <w:spacing w:line="300" w:lineRule="exact"/>
              <w:jc w:val="center"/>
              <w:rPr>
                <w:rFonts w:hint="eastAsia" w:ascii="仿宋_GB2312" w:eastAsia="仿宋_GB2312" w:cs="Times New Roman"/>
                <w:sz w:val="28"/>
                <w:szCs w:val="28"/>
              </w:rPr>
            </w:pPr>
          </w:p>
        </w:tc>
        <w:tc>
          <w:tcPr>
            <w:tcW w:w="304" w:type="pct"/>
            <w:shd w:val="clear" w:color="auto" w:fill="auto"/>
            <w:vAlign w:val="center"/>
          </w:tcPr>
          <w:p>
            <w:pPr>
              <w:spacing w:line="300" w:lineRule="exact"/>
              <w:jc w:val="center"/>
              <w:rPr>
                <w:rFonts w:hint="eastAsia" w:ascii="仿宋_GB2312" w:eastAsia="仿宋_GB2312" w:cs="Times New Roman"/>
                <w:sz w:val="28"/>
                <w:szCs w:val="28"/>
              </w:rPr>
            </w:pPr>
          </w:p>
        </w:tc>
        <w:tc>
          <w:tcPr>
            <w:tcW w:w="286" w:type="pct"/>
            <w:shd w:val="clear" w:color="auto" w:fill="auto"/>
            <w:vAlign w:val="center"/>
          </w:tcPr>
          <w:p>
            <w:pPr>
              <w:spacing w:line="300" w:lineRule="exact"/>
              <w:jc w:val="center"/>
              <w:rPr>
                <w:rFonts w:hint="eastAsia" w:ascii="仿宋_GB2312" w:eastAsia="仿宋_GB2312" w:cs="Times New Roman"/>
                <w:sz w:val="28"/>
                <w:szCs w:val="28"/>
              </w:rPr>
            </w:pPr>
          </w:p>
        </w:tc>
      </w:tr>
    </w:tbl>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p>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我部门（含所属单位）上年末固定资产金额为94.76万元，本年度无拟购置固定资产</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详见下表。</w:t>
      </w:r>
    </w:p>
    <w:tbl>
      <w:tblPr>
        <w:tblStyle w:val="4"/>
        <w:tblW w:w="1017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25"/>
        <w:gridCol w:w="2585"/>
        <w:gridCol w:w="3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10205" w:type="dxa"/>
            <w:gridSpan w:val="3"/>
            <w:noWrap/>
            <w:vAlign w:val="center"/>
          </w:tcPr>
          <w:p>
            <w:pPr>
              <w:widowControl/>
              <w:jc w:val="center"/>
              <w:rPr>
                <w:rFonts w:hint="eastAsia"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555" w:type="dxa"/>
            <w:gridSpan w:val="2"/>
            <w:noWrap/>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廊坊市广阳区银河北路街道办事处</w:t>
            </w:r>
          </w:p>
        </w:tc>
        <w:tc>
          <w:tcPr>
            <w:tcW w:w="3665"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数量</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94.76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1、房屋（平方米）</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CellSpacing w:w="0" w:type="dxa"/>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2、车辆（台、辆）</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2</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4、其他固定资产</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46.84</w:t>
            </w:r>
          </w:p>
        </w:tc>
      </w:tr>
    </w:tbl>
    <w:p>
      <w:pPr>
        <w:pStyle w:val="7"/>
        <w:rPr>
          <w:rFonts w:hint="eastAsia" w:ascii="仿宋_GB2312" w:eastAsia="仿宋_GB2312"/>
          <w:b/>
          <w:bCs/>
          <w:sz w:val="32"/>
          <w:szCs w:val="32"/>
        </w:rPr>
      </w:pPr>
      <w:r>
        <w:rPr>
          <w:rFonts w:hint="eastAsia" w:ascii="黑体" w:eastAsia="黑体" w:cs="宋体"/>
          <w:b/>
          <w:bCs/>
          <w:color w:val="000000"/>
          <w:kern w:val="0"/>
          <w:sz w:val="32"/>
          <w:szCs w:val="32"/>
        </w:rPr>
        <w:t>八、名词解释</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lang w:val="en-US" w:eastAsia="zh-CN"/>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hint="eastAsia"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hint="eastAsia"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hint="eastAsia"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hint="eastAsia"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hint="eastAsia"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hint="eastAsia"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ind w:left="643" w:hanging="643" w:hangingChars="200"/>
        <w:jc w:val="left"/>
        <w:rPr>
          <w:rFonts w:hint="eastAsia" w:ascii="宋体" w:hAnsi="宋体"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无其它需要说明的事项。</w:t>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48E3EA0"/>
    <w:rsid w:val="5A737D64"/>
    <w:rsid w:val="75A74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38</Pages>
  <Words>5418</Words>
  <Characters>5633</Characters>
  <Lines>810</Lines>
  <Paragraphs>152</Paragraphs>
  <TotalTime>7</TotalTime>
  <ScaleCrop>false</ScaleCrop>
  <LinksUpToDate>false</LinksUpToDate>
  <CharactersWithSpaces>5922</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2017-10-27T10:03:00Z</dcterms:created>
  <dc:creator>lenovo</dc:creator>
  <cp:lastModifiedBy>111</cp:lastModifiedBy>
  <dcterms:modified xsi:type="dcterms:W3CDTF">2024-05-22T08:17:13Z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2F3BD22F70B9492DBF57682472B7D1CA</vt:lpwstr>
  </property>
</Properties>
</file>